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316B87" w14:textId="3FAB8EA8" w:rsidR="009E00A9" w:rsidRPr="00824F3D" w:rsidRDefault="009E00A9" w:rsidP="009E00A9">
      <w:pPr>
        <w:pStyle w:val="3GPPHeader"/>
        <w:spacing w:after="60"/>
        <w:rPr>
          <w:sz w:val="32"/>
          <w:szCs w:val="32"/>
        </w:rPr>
      </w:pPr>
      <w:r>
        <w:t>3GPP TSG-</w:t>
      </w:r>
      <w:r w:rsidRPr="00824F3D">
        <w:t>RAN WG3 #99</w:t>
      </w:r>
      <w:r w:rsidRPr="00824F3D">
        <w:tab/>
      </w:r>
      <w:r w:rsidRPr="00824F3D">
        <w:rPr>
          <w:szCs w:val="24"/>
        </w:rPr>
        <w:t>R3-18</w:t>
      </w:r>
      <w:r w:rsidR="00F35987">
        <w:rPr>
          <w:szCs w:val="24"/>
        </w:rPr>
        <w:t>131</w:t>
      </w:r>
      <w:r w:rsidR="008943F1">
        <w:rPr>
          <w:szCs w:val="24"/>
        </w:rPr>
        <w:t>1</w:t>
      </w:r>
    </w:p>
    <w:p w14:paraId="01F6D04C" w14:textId="77777777" w:rsidR="009E00A9" w:rsidRPr="00824F3D" w:rsidRDefault="009E00A9" w:rsidP="009E00A9">
      <w:pPr>
        <w:pStyle w:val="3GPPHeader"/>
      </w:pPr>
      <w:r w:rsidRPr="00824F3D">
        <w:rPr>
          <w:lang w:eastAsia="en-US"/>
        </w:rPr>
        <w:t>Athens, Greece, 26 February – 2 March 2018</w:t>
      </w:r>
    </w:p>
    <w:p w14:paraId="74A19433" w14:textId="77777777" w:rsidR="009E00A9" w:rsidRPr="00824F3D" w:rsidRDefault="009E00A9" w:rsidP="009E00A9">
      <w:pPr>
        <w:pStyle w:val="3GPPHeader"/>
        <w:rPr>
          <w:sz w:val="22"/>
          <w:szCs w:val="22"/>
          <w:lang w:val="en-US"/>
        </w:rPr>
      </w:pPr>
    </w:p>
    <w:p w14:paraId="75BF6941" w14:textId="5CCE9C37" w:rsidR="009E00A9" w:rsidRPr="00824F3D" w:rsidRDefault="009E00A9" w:rsidP="009E00A9">
      <w:pPr>
        <w:pStyle w:val="3GPPHeader"/>
        <w:rPr>
          <w:sz w:val="22"/>
          <w:szCs w:val="22"/>
          <w:lang w:val="en-US"/>
        </w:rPr>
      </w:pPr>
      <w:r w:rsidRPr="00824F3D">
        <w:rPr>
          <w:sz w:val="22"/>
          <w:szCs w:val="22"/>
          <w:lang w:val="en-US"/>
        </w:rPr>
        <w:t>Agenda Item:</w:t>
      </w:r>
      <w:r w:rsidRPr="00824F3D">
        <w:rPr>
          <w:sz w:val="22"/>
          <w:szCs w:val="22"/>
          <w:lang w:val="en-US"/>
        </w:rPr>
        <w:tab/>
      </w:r>
      <w:r w:rsidR="008943F1">
        <w:rPr>
          <w:sz w:val="22"/>
          <w:szCs w:val="22"/>
          <w:lang w:val="en-US"/>
        </w:rPr>
        <w:t>24.1</w:t>
      </w:r>
    </w:p>
    <w:p w14:paraId="4B35D5C7" w14:textId="77777777" w:rsidR="009E00A9" w:rsidRPr="00824F3D" w:rsidRDefault="009E00A9" w:rsidP="009E00A9">
      <w:pPr>
        <w:pStyle w:val="3GPPHeader"/>
        <w:rPr>
          <w:sz w:val="22"/>
          <w:szCs w:val="22"/>
        </w:rPr>
      </w:pPr>
      <w:r w:rsidRPr="00824F3D">
        <w:rPr>
          <w:sz w:val="22"/>
          <w:szCs w:val="22"/>
        </w:rPr>
        <w:t>Source:</w:t>
      </w:r>
      <w:r w:rsidRPr="00824F3D">
        <w:rPr>
          <w:sz w:val="22"/>
          <w:szCs w:val="22"/>
        </w:rPr>
        <w:tab/>
        <w:t>Ericsson</w:t>
      </w:r>
    </w:p>
    <w:p w14:paraId="6B57142C" w14:textId="4D8A737B" w:rsidR="009E00A9" w:rsidRPr="00824F3D" w:rsidRDefault="009E00A9" w:rsidP="009E00A9">
      <w:pPr>
        <w:pStyle w:val="3GPPHeader"/>
        <w:rPr>
          <w:sz w:val="22"/>
          <w:szCs w:val="22"/>
        </w:rPr>
      </w:pPr>
      <w:r w:rsidRPr="00824F3D">
        <w:rPr>
          <w:sz w:val="22"/>
          <w:szCs w:val="22"/>
        </w:rPr>
        <w:t>Title:</w:t>
      </w:r>
      <w:r w:rsidRPr="00824F3D">
        <w:rPr>
          <w:sz w:val="22"/>
          <w:szCs w:val="22"/>
        </w:rPr>
        <w:tab/>
      </w:r>
      <w:r w:rsidR="0056730B" w:rsidRPr="00824F3D">
        <w:rPr>
          <w:sz w:val="22"/>
          <w:szCs w:val="22"/>
        </w:rPr>
        <w:t xml:space="preserve">Functional split between </w:t>
      </w:r>
      <w:r w:rsidRPr="00824F3D">
        <w:rPr>
          <w:sz w:val="22"/>
          <w:szCs w:val="22"/>
        </w:rPr>
        <w:t>IAB</w:t>
      </w:r>
      <w:r w:rsidR="0056730B" w:rsidRPr="00824F3D">
        <w:rPr>
          <w:sz w:val="22"/>
          <w:szCs w:val="22"/>
        </w:rPr>
        <w:t xml:space="preserve"> node and other network nodes</w:t>
      </w:r>
      <w:r w:rsidRPr="00824F3D">
        <w:rPr>
          <w:sz w:val="22"/>
          <w:szCs w:val="22"/>
        </w:rPr>
        <w:t xml:space="preserve"> </w:t>
      </w:r>
    </w:p>
    <w:p w14:paraId="06ADD6DF" w14:textId="71BD59BC" w:rsidR="009E00A9" w:rsidRPr="00824F3D" w:rsidRDefault="009E00A9" w:rsidP="009E00A9">
      <w:pPr>
        <w:pStyle w:val="3GPPHeader"/>
        <w:rPr>
          <w:sz w:val="22"/>
          <w:szCs w:val="22"/>
        </w:rPr>
      </w:pPr>
      <w:r w:rsidRPr="00824F3D">
        <w:rPr>
          <w:sz w:val="22"/>
          <w:szCs w:val="22"/>
        </w:rPr>
        <w:t>Document for:</w:t>
      </w:r>
      <w:r w:rsidRPr="00824F3D">
        <w:rPr>
          <w:sz w:val="22"/>
          <w:szCs w:val="22"/>
        </w:rPr>
        <w:tab/>
        <w:t>Discussion</w:t>
      </w:r>
      <w:r w:rsidR="009E09F5" w:rsidRPr="00824F3D">
        <w:rPr>
          <w:sz w:val="22"/>
          <w:szCs w:val="22"/>
        </w:rPr>
        <w:t>, Decision</w:t>
      </w:r>
    </w:p>
    <w:p w14:paraId="76A9BC2F" w14:textId="77777777" w:rsidR="00C24345" w:rsidRPr="00824F3D" w:rsidRDefault="00E90E49" w:rsidP="00A2052C">
      <w:pPr>
        <w:pStyle w:val="Heading1"/>
      </w:pPr>
      <w:r w:rsidRPr="00824F3D">
        <w:t>Introduction</w:t>
      </w:r>
    </w:p>
    <w:p w14:paraId="68A551BB" w14:textId="3561D1F2" w:rsidR="00A2052C" w:rsidRDefault="00C63B99" w:rsidP="00A2052C">
      <w:r w:rsidRPr="00824F3D">
        <w:t>The study item on integrated access and backhaul aims at supporting NR cells which are self-backhauled using the NR radio interface to other NR nodes</w:t>
      </w:r>
      <w:r>
        <w:t xml:space="preserve"> which are connected to a traditional transport network. </w:t>
      </w:r>
    </w:p>
    <w:p w14:paraId="71437F0D" w14:textId="69E9813D" w:rsidR="00C63B99" w:rsidRDefault="00C63B99" w:rsidP="00A2052C">
      <w:r>
        <w:t>The following requirements are mentioned in the study item description:</w:t>
      </w:r>
    </w:p>
    <w:p w14:paraId="034B6A2E" w14:textId="77777777" w:rsidR="00C63B99" w:rsidRDefault="00C63B99" w:rsidP="00C63B99">
      <w:pPr>
        <w:numPr>
          <w:ilvl w:val="0"/>
          <w:numId w:val="16"/>
        </w:numPr>
        <w:spacing w:after="0"/>
        <w:jc w:val="left"/>
        <w:textAlignment w:val="auto"/>
        <w:rPr>
          <w:rFonts w:ascii="Times New Roman" w:hAnsi="Times New Roman"/>
          <w:bCs/>
          <w:lang w:val="en-US" w:eastAsia="en-US"/>
        </w:rPr>
      </w:pPr>
      <w:r>
        <w:rPr>
          <w:bCs/>
          <w:lang w:val="en-US"/>
        </w:rPr>
        <w:t xml:space="preserve">Efficient and flexible operation for both </w:t>
      </w:r>
      <w:proofErr w:type="spellStart"/>
      <w:r>
        <w:rPr>
          <w:bCs/>
          <w:lang w:val="en-US"/>
        </w:rPr>
        <w:t>inband</w:t>
      </w:r>
      <w:proofErr w:type="spellEnd"/>
      <w:r>
        <w:rPr>
          <w:bCs/>
          <w:lang w:val="en-US"/>
        </w:rPr>
        <w:t xml:space="preserve"> and </w:t>
      </w:r>
      <w:proofErr w:type="spellStart"/>
      <w:r>
        <w:rPr>
          <w:bCs/>
          <w:lang w:val="en-US"/>
        </w:rPr>
        <w:t>outband</w:t>
      </w:r>
      <w:proofErr w:type="spellEnd"/>
      <w:r>
        <w:rPr>
          <w:bCs/>
          <w:lang w:val="en-US"/>
        </w:rPr>
        <w:t xml:space="preserve"> relaying in indoor and outdoor scenarios </w:t>
      </w:r>
    </w:p>
    <w:p w14:paraId="7F3519F5" w14:textId="77777777" w:rsidR="00C63B99" w:rsidRDefault="00C63B99" w:rsidP="00C63B99">
      <w:pPr>
        <w:numPr>
          <w:ilvl w:val="0"/>
          <w:numId w:val="16"/>
        </w:numPr>
        <w:spacing w:after="0"/>
        <w:jc w:val="left"/>
        <w:textAlignment w:val="auto"/>
        <w:rPr>
          <w:bCs/>
          <w:lang w:val="en-US"/>
        </w:rPr>
      </w:pPr>
      <w:r>
        <w:rPr>
          <w:bCs/>
          <w:lang w:val="en-US"/>
        </w:rPr>
        <w:t>Multi-hop and redundant connectivity</w:t>
      </w:r>
    </w:p>
    <w:p w14:paraId="3331D580" w14:textId="77777777" w:rsidR="00C63B99" w:rsidRDefault="00C63B99" w:rsidP="00C63B99">
      <w:pPr>
        <w:numPr>
          <w:ilvl w:val="0"/>
          <w:numId w:val="16"/>
        </w:numPr>
        <w:spacing w:after="0"/>
        <w:jc w:val="left"/>
        <w:textAlignment w:val="auto"/>
        <w:rPr>
          <w:bCs/>
          <w:lang w:val="en-US"/>
        </w:rPr>
      </w:pPr>
      <w:r>
        <w:rPr>
          <w:bCs/>
          <w:lang w:val="en-US"/>
        </w:rPr>
        <w:t>End-to-end route selection and optimization</w:t>
      </w:r>
    </w:p>
    <w:p w14:paraId="19D865E5" w14:textId="77777777" w:rsidR="00C63B99" w:rsidRPr="00E84600" w:rsidRDefault="00C63B99" w:rsidP="00C63B99">
      <w:pPr>
        <w:numPr>
          <w:ilvl w:val="0"/>
          <w:numId w:val="16"/>
        </w:numPr>
        <w:spacing w:after="0"/>
        <w:jc w:val="left"/>
        <w:textAlignment w:val="auto"/>
        <w:rPr>
          <w:bCs/>
          <w:lang w:val="en-US"/>
        </w:rPr>
      </w:pPr>
      <w:r>
        <w:rPr>
          <w:bCs/>
          <w:lang w:val="en-US"/>
        </w:rPr>
        <w:t xml:space="preserve">Support of </w:t>
      </w:r>
      <w:r w:rsidRPr="00E84600">
        <w:rPr>
          <w:bCs/>
          <w:lang w:val="en-US"/>
        </w:rPr>
        <w:t>backhaul links with high spectral efficiency</w:t>
      </w:r>
    </w:p>
    <w:p w14:paraId="1DC9C63B" w14:textId="77777777" w:rsidR="00C63B99" w:rsidRPr="00E84600" w:rsidRDefault="00C63B99" w:rsidP="00C63B99">
      <w:pPr>
        <w:numPr>
          <w:ilvl w:val="0"/>
          <w:numId w:val="16"/>
        </w:numPr>
        <w:spacing w:after="0"/>
        <w:jc w:val="left"/>
        <w:textAlignment w:val="auto"/>
        <w:rPr>
          <w:bCs/>
          <w:lang w:val="en-US"/>
        </w:rPr>
      </w:pPr>
      <w:r w:rsidRPr="00E84600">
        <w:rPr>
          <w:bCs/>
          <w:lang w:val="en-US"/>
        </w:rPr>
        <w:t>Support of legacy NR UEs</w:t>
      </w:r>
    </w:p>
    <w:p w14:paraId="7CC7449A" w14:textId="3FD66A92" w:rsidR="00C63B99" w:rsidRDefault="00C63B99" w:rsidP="00A2052C"/>
    <w:p w14:paraId="7424CC32" w14:textId="1C847D78" w:rsidR="00584864" w:rsidRDefault="00584864" w:rsidP="00A2052C">
      <w:r>
        <w:t xml:space="preserve">This study item was discussed at the last RAN2 meeting and some basic agreements was made which are captured in the Annex. </w:t>
      </w:r>
    </w:p>
    <w:p w14:paraId="1A68F33C" w14:textId="33DE1EF0" w:rsidR="00584864" w:rsidRDefault="00584864" w:rsidP="0056730B">
      <w:r>
        <w:t xml:space="preserve">When it comes to the architecture </w:t>
      </w:r>
      <w:r w:rsidR="00CB4865">
        <w:t xml:space="preserve">of </w:t>
      </w:r>
      <w:r>
        <w:t>IAB</w:t>
      </w:r>
      <w:r w:rsidR="00CB4865">
        <w:t>,</w:t>
      </w:r>
      <w:r>
        <w:t xml:space="preserve"> there are many different </w:t>
      </w:r>
      <w:r w:rsidR="00CB4865">
        <w:t>solutions</w:t>
      </w:r>
      <w:r>
        <w:t xml:space="preserve"> which </w:t>
      </w:r>
      <w:r w:rsidR="00C63B99" w:rsidRPr="00E84600">
        <w:t xml:space="preserve">can be </w:t>
      </w:r>
      <w:r w:rsidR="00CB4865">
        <w:t>used/</w:t>
      </w:r>
      <w:r w:rsidR="00C63B99" w:rsidRPr="00E84600">
        <w:t>supported.</w:t>
      </w:r>
      <w:r>
        <w:t xml:space="preserve"> </w:t>
      </w:r>
      <w:r w:rsidR="007953CB">
        <w:t xml:space="preserve">This </w:t>
      </w:r>
      <w:r w:rsidR="0056730B">
        <w:t xml:space="preserve">contribution focuses on the functionality of the IAB node and the functional splits towards other network nodes which is critical to defining the interfaces towards the IAB node. </w:t>
      </w:r>
    </w:p>
    <w:p w14:paraId="318059CE" w14:textId="142352F8" w:rsidR="005508F9" w:rsidRPr="00E84600" w:rsidRDefault="005508F9" w:rsidP="00A2052C"/>
    <w:p w14:paraId="2A32A878" w14:textId="7DA4D492" w:rsidR="005508F9" w:rsidRPr="00E84600" w:rsidRDefault="005508F9" w:rsidP="005508F9">
      <w:pPr>
        <w:pStyle w:val="Heading1"/>
      </w:pPr>
      <w:r w:rsidRPr="00E84600">
        <w:t>Terminology</w:t>
      </w:r>
    </w:p>
    <w:p w14:paraId="6ABAEA05" w14:textId="7DA40B5E" w:rsidR="005508F9" w:rsidRDefault="005508F9" w:rsidP="00A2052C">
      <w:r w:rsidRPr="00E84600">
        <w:t>The following terminology is used in this contribution:</w:t>
      </w:r>
    </w:p>
    <w:p w14:paraId="4EE92265" w14:textId="77777777" w:rsidR="003870D2" w:rsidRDefault="003870D2" w:rsidP="003870D2">
      <w:pPr>
        <w:pStyle w:val="ListParagraph"/>
        <w:numPr>
          <w:ilvl w:val="0"/>
          <w:numId w:val="20"/>
        </w:numPr>
      </w:pPr>
      <w:r w:rsidRPr="00FC16A1">
        <w:rPr>
          <w:b/>
        </w:rPr>
        <w:t>IAB donor node (IAB-DN):</w:t>
      </w:r>
      <w:r>
        <w:t xml:space="preserve"> The gNB or part of the gNB, that is using NR to backhaul other NR nodes. </w:t>
      </w:r>
    </w:p>
    <w:p w14:paraId="60D96B6F" w14:textId="77777777" w:rsidR="003870D2" w:rsidRDefault="003870D2" w:rsidP="003870D2">
      <w:pPr>
        <w:pStyle w:val="ListParagraph"/>
        <w:numPr>
          <w:ilvl w:val="0"/>
          <w:numId w:val="20"/>
        </w:numPr>
      </w:pPr>
      <w:r w:rsidRPr="00FC16A1">
        <w:rPr>
          <w:b/>
        </w:rPr>
        <w:t>IAB node (IAB-N):</w:t>
      </w:r>
      <w:r>
        <w:t xml:space="preserve"> The NR node being backhauled using NR radio to another NR node (either an IAB node, or an IAB donor node)</w:t>
      </w:r>
    </w:p>
    <w:p w14:paraId="0FFB6D00" w14:textId="77777777" w:rsidR="003870D2" w:rsidRDefault="003870D2" w:rsidP="003870D2">
      <w:pPr>
        <w:pStyle w:val="ListParagraph"/>
        <w:numPr>
          <w:ilvl w:val="0"/>
          <w:numId w:val="20"/>
        </w:numPr>
      </w:pPr>
      <w:r w:rsidRPr="00FC16A1">
        <w:rPr>
          <w:b/>
        </w:rPr>
        <w:t>IAB backhaul link:</w:t>
      </w:r>
      <w:r>
        <w:t xml:space="preserve"> The NR link between the IAB node and the other IAB nodes or IAB donor node providing backhaul. </w:t>
      </w:r>
    </w:p>
    <w:p w14:paraId="3B914D27" w14:textId="77777777" w:rsidR="003870D2" w:rsidRDefault="003870D2" w:rsidP="003870D2">
      <w:pPr>
        <w:pStyle w:val="ListParagraph"/>
        <w:numPr>
          <w:ilvl w:val="0"/>
          <w:numId w:val="20"/>
        </w:numPr>
      </w:pPr>
      <w:r>
        <w:rPr>
          <w:b/>
        </w:rPr>
        <w:t>Access link:</w:t>
      </w:r>
      <w:r>
        <w:t xml:space="preserve"> The link between a UE and a IAB donor node (in case UE is being directly served by it without an intermediary IAB-N).</w:t>
      </w:r>
    </w:p>
    <w:p w14:paraId="504994D4" w14:textId="77777777" w:rsidR="003870D2" w:rsidRDefault="003870D2" w:rsidP="003870D2">
      <w:pPr>
        <w:pStyle w:val="ListParagraph"/>
        <w:numPr>
          <w:ilvl w:val="0"/>
          <w:numId w:val="20"/>
        </w:numPr>
      </w:pPr>
      <w:r w:rsidRPr="00FC16A1">
        <w:rPr>
          <w:b/>
        </w:rPr>
        <w:t>IAB access link</w:t>
      </w:r>
      <w:r>
        <w:rPr>
          <w:b/>
        </w:rPr>
        <w:t>:</w:t>
      </w:r>
      <w:r>
        <w:t xml:space="preserve"> The link between the IAB node and the UEs.</w:t>
      </w:r>
    </w:p>
    <w:p w14:paraId="0731A516" w14:textId="203182F8" w:rsidR="006457FA" w:rsidRPr="00E84600" w:rsidRDefault="003870D2" w:rsidP="005D08A5">
      <w:pPr>
        <w:pStyle w:val="ListParagraph"/>
        <w:numPr>
          <w:ilvl w:val="0"/>
          <w:numId w:val="20"/>
        </w:numPr>
      </w:pPr>
      <w:proofErr w:type="spellStart"/>
      <w:r w:rsidRPr="00FC16A1">
        <w:rPr>
          <w:b/>
        </w:rPr>
        <w:t>Inband</w:t>
      </w:r>
      <w:proofErr w:type="spellEnd"/>
      <w:r w:rsidRPr="00FC16A1">
        <w:rPr>
          <w:b/>
        </w:rPr>
        <w:t>/</w:t>
      </w:r>
      <w:proofErr w:type="spellStart"/>
      <w:r w:rsidRPr="00FC16A1">
        <w:rPr>
          <w:b/>
        </w:rPr>
        <w:t>Outband</w:t>
      </w:r>
      <w:proofErr w:type="spellEnd"/>
      <w:r w:rsidRPr="00FC16A1">
        <w:rPr>
          <w:b/>
        </w:rPr>
        <w:t>:</w:t>
      </w:r>
      <w:r>
        <w:t xml:space="preserve"> </w:t>
      </w:r>
      <w:proofErr w:type="spellStart"/>
      <w:r>
        <w:t>Inband</w:t>
      </w:r>
      <w:proofErr w:type="spellEnd"/>
      <w:r>
        <w:t xml:space="preserve"> means that the same carrier frequency is used both for the IAB-backhaul link and the IAB-access link. </w:t>
      </w:r>
      <w:proofErr w:type="spellStart"/>
      <w:r>
        <w:t>Outband</w:t>
      </w:r>
      <w:proofErr w:type="spellEnd"/>
      <w:r>
        <w:t xml:space="preserve"> means that the IAB-backhaul link and the IAB-access link uses different carrier frequency.</w:t>
      </w:r>
      <w:r w:rsidRPr="00522F60">
        <w:t xml:space="preserve"> </w:t>
      </w:r>
    </w:p>
    <w:p w14:paraId="6671CE98" w14:textId="77777777" w:rsidR="006457FA" w:rsidRPr="00E84600" w:rsidRDefault="006457FA" w:rsidP="005508F9"/>
    <w:p w14:paraId="293D5A1D" w14:textId="020F7735" w:rsidR="004000E8" w:rsidRPr="00E84600" w:rsidRDefault="0056730B" w:rsidP="00CE0424">
      <w:pPr>
        <w:pStyle w:val="Heading1"/>
      </w:pPr>
      <w:r>
        <w:t>Background Relaying in LTE</w:t>
      </w:r>
    </w:p>
    <w:p w14:paraId="497731A2" w14:textId="2C431F01" w:rsidR="00D87E3D" w:rsidRPr="00E84600" w:rsidRDefault="00D87E3D" w:rsidP="00C63B99">
      <w:r w:rsidRPr="00E84600">
        <w:t xml:space="preserve">Integrated access and backhaul has been studied earlier in 3GPP in the scope of LTE Rel-10. In this work an architecture was adopted where the Relay Node </w:t>
      </w:r>
      <w:r w:rsidR="006457FA" w:rsidRPr="00E84600">
        <w:t xml:space="preserve">(RN) </w:t>
      </w:r>
      <w:r w:rsidRPr="00E84600">
        <w:t xml:space="preserve">has the functionality of an LTE eNB and UE modem. </w:t>
      </w:r>
      <w:r w:rsidRPr="00E84600">
        <w:lastRenderedPageBreak/>
        <w:t xml:space="preserve">The </w:t>
      </w:r>
      <w:r w:rsidR="006457FA" w:rsidRPr="00E84600">
        <w:t>RN</w:t>
      </w:r>
      <w:r w:rsidRPr="00E84600">
        <w:t xml:space="preserve"> is connected to a donor eNB which has a S1/X2 proxy functionality hiding the </w:t>
      </w:r>
      <w:r w:rsidR="006457FA" w:rsidRPr="00E84600">
        <w:t>RN</w:t>
      </w:r>
      <w:r w:rsidRPr="00E84600">
        <w:t xml:space="preserve"> from the rest of the network. The architecture enabled the Donor eNB to also be aware of the UEs behind the </w:t>
      </w:r>
      <w:r w:rsidR="006457FA" w:rsidRPr="00E84600">
        <w:t>RN</w:t>
      </w:r>
      <w:r w:rsidRPr="00E84600">
        <w:t xml:space="preserve"> and hide any UE mobility between Donor eNB and Relay Node</w:t>
      </w:r>
      <w:r w:rsidR="006D4337">
        <w:t>s</w:t>
      </w:r>
      <w:r w:rsidRPr="00E84600">
        <w:t xml:space="preserve"> on the same Donor eNB from the CN.</w:t>
      </w:r>
    </w:p>
    <w:p w14:paraId="05A695F8" w14:textId="724F0361" w:rsidR="00D87E3D" w:rsidRDefault="00D87E3D" w:rsidP="00C63B99">
      <w:r w:rsidRPr="00E84600">
        <w:t>During the Rel-10 also other architectures were considered e.g. where the RNs are more transparent to the Donor gNB and allocated a separate stand-alone P/S-GW node.</w:t>
      </w:r>
    </w:p>
    <w:p w14:paraId="5C4186BD" w14:textId="77777777" w:rsidR="00AF7F08" w:rsidRDefault="00AF7F08" w:rsidP="00C63B99"/>
    <w:p w14:paraId="4B072FB5" w14:textId="23922D5C" w:rsidR="0056730B" w:rsidRDefault="0056730B" w:rsidP="0056730B">
      <w:pPr>
        <w:pStyle w:val="Observation"/>
      </w:pPr>
      <w:bookmarkStart w:id="0" w:name="_Toc506544083"/>
      <w:bookmarkStart w:id="1" w:name="_Toc506560619"/>
      <w:r>
        <w:t>For relaying in LTE Rel-10</w:t>
      </w:r>
      <w:r w:rsidR="00CB4865">
        <w:t>,</w:t>
      </w:r>
      <w:r>
        <w:t xml:space="preserve"> an architecture was adopted where the Relay has the full functionality of the eNB. The Relay was connected to a Donor eNB which had </w:t>
      </w:r>
      <w:r w:rsidR="00AF7F08">
        <w:t>among</w:t>
      </w:r>
      <w:r>
        <w:t xml:space="preserve"> other things S1/X2 proxy functionality</w:t>
      </w:r>
      <w:bookmarkEnd w:id="0"/>
      <w:bookmarkEnd w:id="1"/>
      <w:r w:rsidR="00ED7156">
        <w:t>.</w:t>
      </w:r>
    </w:p>
    <w:p w14:paraId="116A30DD" w14:textId="77777777" w:rsidR="00AF7F08" w:rsidRDefault="00AF7F08" w:rsidP="00AF7F08">
      <w:pPr>
        <w:pStyle w:val="Observation"/>
        <w:numPr>
          <w:ilvl w:val="0"/>
          <w:numId w:val="0"/>
        </w:numPr>
        <w:ind w:left="1701"/>
      </w:pPr>
    </w:p>
    <w:p w14:paraId="241A696E" w14:textId="03DF11BD" w:rsidR="0056730B" w:rsidRDefault="0056730B" w:rsidP="0056730B">
      <w:r w:rsidRPr="00E84600">
        <w:t>The Rel-10 discussion in LTE did not consider multi-hop</w:t>
      </w:r>
      <w:r w:rsidR="00CB4865">
        <w:t>ping</w:t>
      </w:r>
      <w:r w:rsidRPr="00E84600">
        <w:t>. Multi-hop</w:t>
      </w:r>
      <w:r w:rsidR="00CB4865">
        <w:t xml:space="preserve"> support</w:t>
      </w:r>
      <w:r w:rsidRPr="00E84600">
        <w:t xml:space="preserve"> has a clear architecture impact </w:t>
      </w:r>
      <w:r>
        <w:t xml:space="preserve">since it could </w:t>
      </w:r>
      <w:r w:rsidRPr="00E84600">
        <w:t xml:space="preserve">make some architecture solutions less efficient due to excessive processing (e.g. tunnelling </w:t>
      </w:r>
      <w:r w:rsidR="00CB4865">
        <w:t>within</w:t>
      </w:r>
      <w:r w:rsidRPr="00E84600">
        <w:t xml:space="preserve"> tunnelling). Additionally, the support of redundant paths was not considered for Relays in Rel-10.</w:t>
      </w:r>
    </w:p>
    <w:p w14:paraId="25FDAA2D" w14:textId="77777777" w:rsidR="00AF7F08" w:rsidRPr="00E84600" w:rsidRDefault="00AF7F08" w:rsidP="0056730B"/>
    <w:p w14:paraId="244B79D4" w14:textId="77777777" w:rsidR="0056730B" w:rsidRPr="00E84600" w:rsidRDefault="0056730B" w:rsidP="0056730B">
      <w:pPr>
        <w:pStyle w:val="Observation"/>
      </w:pPr>
      <w:bookmarkStart w:id="2" w:name="_Toc502920336"/>
      <w:bookmarkStart w:id="3" w:name="_Toc502920393"/>
      <w:bookmarkStart w:id="4" w:name="_Toc503259034"/>
      <w:bookmarkStart w:id="5" w:name="_Toc503262485"/>
      <w:bookmarkStart w:id="6" w:name="_Toc503438373"/>
      <w:bookmarkStart w:id="7" w:name="_Toc503475858"/>
      <w:bookmarkStart w:id="8" w:name="_Toc506544084"/>
      <w:bookmarkStart w:id="9" w:name="_Toc506560620"/>
      <w:r w:rsidRPr="00E84600">
        <w:t>Support for multi-hop and redundant paths was not considered in Rel-10 and will have an impact on the architecture.</w:t>
      </w:r>
      <w:bookmarkEnd w:id="2"/>
      <w:bookmarkEnd w:id="3"/>
      <w:bookmarkEnd w:id="4"/>
      <w:bookmarkEnd w:id="5"/>
      <w:bookmarkEnd w:id="6"/>
      <w:bookmarkEnd w:id="7"/>
      <w:bookmarkEnd w:id="8"/>
      <w:bookmarkEnd w:id="9"/>
      <w:r w:rsidRPr="00E84600">
        <w:t xml:space="preserve"> </w:t>
      </w:r>
    </w:p>
    <w:p w14:paraId="0FE05080" w14:textId="17CAABEE" w:rsidR="0056730B" w:rsidRDefault="0056730B" w:rsidP="00C63B99"/>
    <w:p w14:paraId="55327FA2" w14:textId="25BFE686" w:rsidR="0056730B" w:rsidRPr="00E10C76" w:rsidRDefault="0056730B" w:rsidP="0056730B">
      <w:pPr>
        <w:pStyle w:val="Heading1"/>
        <w:rPr>
          <w:lang w:val="sv-SE"/>
        </w:rPr>
      </w:pPr>
      <w:r w:rsidRPr="00E10C76">
        <w:rPr>
          <w:lang w:val="sv-SE"/>
        </w:rPr>
        <w:t>CU / DU split in NR RAN</w:t>
      </w:r>
    </w:p>
    <w:p w14:paraId="79B603C4" w14:textId="10E80A7F" w:rsidR="0056730B" w:rsidRDefault="0056730B" w:rsidP="0056730B">
      <w:r>
        <w:t>For NR RAN</w:t>
      </w:r>
      <w:r w:rsidR="00CB4865">
        <w:t>,</w:t>
      </w:r>
      <w:r>
        <w:t xml:space="preserve"> a CU/DU separation of the gNB using the F1 interface has been defined. Additionally, it has been agreed to also support separation of the CU in a CU-CP and CU-UP entity. </w:t>
      </w:r>
    </w:p>
    <w:p w14:paraId="54CA5418" w14:textId="472BC412" w:rsidR="00AF7F08" w:rsidRDefault="0056730B" w:rsidP="00AF7F08">
      <w:r>
        <w:t xml:space="preserve">The CU/DU separation </w:t>
      </w:r>
      <w:r w:rsidR="00D87E3D" w:rsidRPr="00E84600">
        <w:t>allows a separation of time critical RLC/MAC/PHY protocols</w:t>
      </w:r>
      <w:r>
        <w:t xml:space="preserve"> performed in the DU</w:t>
      </w:r>
      <w:r w:rsidR="00D87E3D" w:rsidRPr="00E84600">
        <w:t xml:space="preserve"> from less time critical RRC/PDCP protocols</w:t>
      </w:r>
      <w:r>
        <w:t xml:space="preserve"> </w:t>
      </w:r>
      <w:r w:rsidR="00CB4865">
        <w:t xml:space="preserve">in the </w:t>
      </w:r>
      <w:r>
        <w:t>CU. In the CU/DU separation</w:t>
      </w:r>
      <w:r w:rsidR="00CB4865">
        <w:t>,</w:t>
      </w:r>
      <w:r>
        <w:t xml:space="preserve"> the external gNB </w:t>
      </w:r>
      <w:r w:rsidR="00AF7F08">
        <w:t xml:space="preserve">control plane </w:t>
      </w:r>
      <w:r>
        <w:t>interface</w:t>
      </w:r>
      <w:r w:rsidR="00AF7F08">
        <w:t>s</w:t>
      </w:r>
      <w:r>
        <w:t xml:space="preserve"> </w:t>
      </w:r>
      <w:r w:rsidR="00AF7F08">
        <w:t xml:space="preserve">NG-C, X2-C, </w:t>
      </w:r>
      <w:proofErr w:type="spellStart"/>
      <w:r w:rsidR="00AF7F08">
        <w:t>Xn</w:t>
      </w:r>
      <w:proofErr w:type="spellEnd"/>
      <w:r w:rsidR="00AF7F08">
        <w:t>-C are terminated in the CU which means that the DU is not seen by external RAN or CN nodes. Since the UE</w:t>
      </w:r>
      <w:r w:rsidR="00CB4865">
        <w:t>’s</w:t>
      </w:r>
      <w:r w:rsidR="00AF7F08">
        <w:t xml:space="preserve"> RRC protocol terminates in the CU</w:t>
      </w:r>
      <w:r w:rsidR="00CB4865">
        <w:t>, the CU</w:t>
      </w:r>
      <w:r w:rsidR="00AF7F08">
        <w:t xml:space="preserve"> can optimize the UE</w:t>
      </w:r>
      <w:r w:rsidR="00CB4865">
        <w:t>’s</w:t>
      </w:r>
      <w:r w:rsidR="00AF7F08">
        <w:t xml:space="preserve"> performance (mobility, QoS) across several DUs.</w:t>
      </w:r>
    </w:p>
    <w:p w14:paraId="36AD0CA1" w14:textId="1CBB56C0" w:rsidR="00AF7F08" w:rsidRDefault="00AF7F08" w:rsidP="00AF7F08">
      <w:r>
        <w:t>Overall, we think the properties above make the CU/DU split also useful for IAB.</w:t>
      </w:r>
    </w:p>
    <w:p w14:paraId="19DD1619" w14:textId="77777777" w:rsidR="00AF7F08" w:rsidRPr="00E84600" w:rsidRDefault="00AF7F08" w:rsidP="00AF7F08"/>
    <w:p w14:paraId="0698E7AE" w14:textId="23903C4D" w:rsidR="00D87E3D" w:rsidRPr="00E84600" w:rsidRDefault="00AF7F08" w:rsidP="005975C9">
      <w:pPr>
        <w:pStyle w:val="Observation"/>
      </w:pPr>
      <w:bookmarkStart w:id="10" w:name="_Toc502920335"/>
      <w:bookmarkStart w:id="11" w:name="_Toc502920392"/>
      <w:bookmarkStart w:id="12" w:name="_Toc503259033"/>
      <w:bookmarkStart w:id="13" w:name="_Toc503262484"/>
      <w:bookmarkStart w:id="14" w:name="_Toc503438372"/>
      <w:bookmarkStart w:id="15" w:name="_Toc503475857"/>
      <w:bookmarkStart w:id="16" w:name="_Toc506544085"/>
      <w:bookmarkStart w:id="17" w:name="_Toc506560621"/>
      <w:r>
        <w:t xml:space="preserve">The CU/DU split has many properties also making it useful for IAB such as separation of time critical and less critical functionality, the CU hiding the DU from </w:t>
      </w:r>
      <w:r w:rsidR="0046174F">
        <w:t>CN and other n</w:t>
      </w:r>
      <w:r>
        <w:t>odes, the possibility to optimize the IAB performance</w:t>
      </w:r>
      <w:r w:rsidR="00B60C2D">
        <w:t>-</w:t>
      </w:r>
      <w:r>
        <w:t>based knowledge about IAB nodes in the CU</w:t>
      </w:r>
      <w:bookmarkEnd w:id="10"/>
      <w:bookmarkEnd w:id="11"/>
      <w:bookmarkEnd w:id="12"/>
      <w:bookmarkEnd w:id="13"/>
      <w:bookmarkEnd w:id="14"/>
      <w:bookmarkEnd w:id="15"/>
      <w:r>
        <w:t>.</w:t>
      </w:r>
      <w:bookmarkEnd w:id="16"/>
      <w:bookmarkEnd w:id="17"/>
    </w:p>
    <w:p w14:paraId="730E45A5" w14:textId="190B953E" w:rsidR="005975C9" w:rsidRDefault="009F306A" w:rsidP="005975C9">
      <w:pPr>
        <w:pStyle w:val="Heading1"/>
      </w:pPr>
      <w:r>
        <w:t xml:space="preserve">Overview </w:t>
      </w:r>
      <w:r w:rsidR="0046174F">
        <w:t xml:space="preserve">of </w:t>
      </w:r>
      <w:r>
        <w:t>poss</w:t>
      </w:r>
      <w:r w:rsidR="00584864">
        <w:t xml:space="preserve">ible </w:t>
      </w:r>
      <w:r>
        <w:t xml:space="preserve">high-level </w:t>
      </w:r>
      <w:r w:rsidR="00584864">
        <w:t>options for IAB node functionality</w:t>
      </w:r>
    </w:p>
    <w:p w14:paraId="6568126A" w14:textId="359503DC" w:rsidR="00584864" w:rsidRDefault="00584864" w:rsidP="00584864">
      <w:r>
        <w:t>The following options are considered for IAB node functionality and the corresponding functionality in nodes servi</w:t>
      </w:r>
      <w:r w:rsidR="0046174F">
        <w:t>ng</w:t>
      </w:r>
      <w:r>
        <w:t xml:space="preserve"> the IAB node:</w:t>
      </w:r>
    </w:p>
    <w:p w14:paraId="0D9F04E3" w14:textId="7233F236" w:rsidR="00584864" w:rsidRDefault="00584864" w:rsidP="00584864">
      <w:pPr>
        <w:pStyle w:val="ListParagraph"/>
        <w:numPr>
          <w:ilvl w:val="0"/>
          <w:numId w:val="21"/>
        </w:numPr>
      </w:pPr>
      <w:r>
        <w:t>The IAB node is a full gNB visible in CN (over NG interface) and surrounding RAN nodes (X2/</w:t>
      </w:r>
      <w:proofErr w:type="spellStart"/>
      <w:r>
        <w:t>Xn</w:t>
      </w:r>
      <w:proofErr w:type="spellEnd"/>
      <w:r>
        <w:t>)</w:t>
      </w:r>
    </w:p>
    <w:p w14:paraId="4DDFFAED" w14:textId="0EFDC622" w:rsidR="00584864" w:rsidRDefault="00584864" w:rsidP="00584864">
      <w:pPr>
        <w:pStyle w:val="ListParagraph"/>
        <w:numPr>
          <w:ilvl w:val="0"/>
          <w:numId w:val="21"/>
        </w:numPr>
      </w:pPr>
      <w:r>
        <w:t>The IAB node is a full gNB but it is hidden by a donor gNB acting as an NG/X2/</w:t>
      </w:r>
      <w:proofErr w:type="spellStart"/>
      <w:r>
        <w:t>Xn</w:t>
      </w:r>
      <w:proofErr w:type="spellEnd"/>
      <w:r>
        <w:t xml:space="preserve"> proxy</w:t>
      </w:r>
      <w:r w:rsidR="000A3AE0">
        <w:t xml:space="preserve"> (</w:t>
      </w:r>
      <w:proofErr w:type="gramStart"/>
      <w:r w:rsidR="000A3AE0">
        <w:t>similar to</w:t>
      </w:r>
      <w:proofErr w:type="gramEnd"/>
      <w:r w:rsidR="000A3AE0">
        <w:t xml:space="preserve"> LTE Rel-10)</w:t>
      </w:r>
    </w:p>
    <w:p w14:paraId="38A6B1BC" w14:textId="7DB2F153" w:rsidR="000A3AE0" w:rsidRDefault="000A3AE0" w:rsidP="00584864">
      <w:pPr>
        <w:pStyle w:val="ListParagraph"/>
        <w:numPr>
          <w:ilvl w:val="0"/>
          <w:numId w:val="21"/>
        </w:numPr>
      </w:pPr>
      <w:r>
        <w:t>The IAB nod</w:t>
      </w:r>
      <w:r w:rsidR="00AF7F08">
        <w:t>e</w:t>
      </w:r>
      <w:r>
        <w:t xml:space="preserve"> is a DU, which is served by a CU located in the “wired” part of the network</w:t>
      </w:r>
    </w:p>
    <w:p w14:paraId="2C973C3D" w14:textId="6D215C3D" w:rsidR="000A3AE0" w:rsidRDefault="000A3AE0" w:rsidP="000A3AE0"/>
    <w:p w14:paraId="33DC8F77" w14:textId="1FBAC81D" w:rsidR="000A3AE0" w:rsidRDefault="000A3AE0" w:rsidP="000A3AE0">
      <w:r>
        <w:t>Below are some figures illustrating these solutions for the single hop case:</w:t>
      </w:r>
    </w:p>
    <w:p w14:paraId="5B9BB343" w14:textId="6D51FDB8" w:rsidR="000A3AE0" w:rsidRDefault="000A3AE0" w:rsidP="000A3AE0">
      <w:r>
        <w:rPr>
          <w:noProof/>
        </w:rPr>
        <w:lastRenderedPageBreak/>
        <w:drawing>
          <wp:inline distT="0" distB="0" distL="0" distR="0" wp14:anchorId="5BCB1479" wp14:editId="5501BCBE">
            <wp:extent cx="5266302" cy="125460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276057" cy="1256928"/>
                    </a:xfrm>
                    <a:prstGeom prst="rect">
                      <a:avLst/>
                    </a:prstGeom>
                    <a:noFill/>
                  </pic:spPr>
                </pic:pic>
              </a:graphicData>
            </a:graphic>
          </wp:inline>
        </w:drawing>
      </w:r>
    </w:p>
    <w:p w14:paraId="454D6428" w14:textId="585B72FE" w:rsidR="000A3AE0" w:rsidRPr="00E84600" w:rsidRDefault="000A3AE0" w:rsidP="000A3AE0">
      <w:pPr>
        <w:pStyle w:val="Caption"/>
      </w:pPr>
      <w:r>
        <w:t xml:space="preserve">Figure </w:t>
      </w:r>
      <w:r>
        <w:fldChar w:fldCharType="begin"/>
      </w:r>
      <w:r>
        <w:instrText xml:space="preserve"> SEQ Figure \* ARABIC </w:instrText>
      </w:r>
      <w:r>
        <w:fldChar w:fldCharType="separate"/>
      </w:r>
      <w:r>
        <w:rPr>
          <w:noProof/>
        </w:rPr>
        <w:t>1</w:t>
      </w:r>
      <w:r>
        <w:fldChar w:fldCharType="end"/>
      </w:r>
      <w:r>
        <w:t xml:space="preserve"> Example IAB node as full gNB, UPF function provide IP connectivity</w:t>
      </w:r>
    </w:p>
    <w:p w14:paraId="3F596DF0" w14:textId="77777777" w:rsidR="000A3AE0" w:rsidRDefault="000A3AE0" w:rsidP="000A3AE0"/>
    <w:p w14:paraId="395D6BEE" w14:textId="1581AB8D" w:rsidR="000A3AE0" w:rsidRDefault="000A3AE0" w:rsidP="000A3AE0">
      <w:r>
        <w:rPr>
          <w:noProof/>
        </w:rPr>
        <w:drawing>
          <wp:inline distT="0" distB="0" distL="0" distR="0" wp14:anchorId="6457ABDA" wp14:editId="481A436D">
            <wp:extent cx="5541247" cy="1281276"/>
            <wp:effectExtent l="0" t="0" r="254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551777" cy="1283711"/>
                    </a:xfrm>
                    <a:prstGeom prst="rect">
                      <a:avLst/>
                    </a:prstGeom>
                    <a:noFill/>
                  </pic:spPr>
                </pic:pic>
              </a:graphicData>
            </a:graphic>
          </wp:inline>
        </w:drawing>
      </w:r>
    </w:p>
    <w:p w14:paraId="0895C9C2" w14:textId="77777777" w:rsidR="000A3AE0" w:rsidRDefault="000A3AE0" w:rsidP="000A3AE0"/>
    <w:p w14:paraId="3BAF11FC" w14:textId="49B717B6" w:rsidR="000A3AE0" w:rsidRPr="00E84600" w:rsidRDefault="000A3AE0" w:rsidP="000A3AE0">
      <w:pPr>
        <w:pStyle w:val="Caption"/>
      </w:pPr>
      <w:r>
        <w:t xml:space="preserve">Figure </w:t>
      </w:r>
      <w:r>
        <w:fldChar w:fldCharType="begin"/>
      </w:r>
      <w:r>
        <w:instrText xml:space="preserve"> SEQ Figure \* ARABIC </w:instrText>
      </w:r>
      <w:r>
        <w:fldChar w:fldCharType="separate"/>
      </w:r>
      <w:r>
        <w:rPr>
          <w:noProof/>
        </w:rPr>
        <w:t>2</w:t>
      </w:r>
      <w:r>
        <w:fldChar w:fldCharType="end"/>
      </w:r>
      <w:r>
        <w:t xml:space="preserve"> Example IAB node as a</w:t>
      </w:r>
      <w:r w:rsidR="009E3487">
        <w:t xml:space="preserve"> full gNB, supported by Donor-gNB acting as a NG/</w:t>
      </w:r>
      <w:proofErr w:type="spellStart"/>
      <w:r w:rsidR="009E3487">
        <w:t>Xn</w:t>
      </w:r>
      <w:proofErr w:type="spellEnd"/>
      <w:r w:rsidR="009E3487">
        <w:t>/X2 proxy</w:t>
      </w:r>
      <w:r>
        <w:tab/>
      </w:r>
    </w:p>
    <w:p w14:paraId="143B1FD1" w14:textId="77777777" w:rsidR="00584864" w:rsidRDefault="00584864" w:rsidP="00584864"/>
    <w:p w14:paraId="55358841" w14:textId="12350649" w:rsidR="00584864" w:rsidRDefault="009E3487" w:rsidP="00584864">
      <w:r>
        <w:rPr>
          <w:noProof/>
        </w:rPr>
        <w:drawing>
          <wp:inline distT="0" distB="0" distL="0" distR="0" wp14:anchorId="16D10C85" wp14:editId="71C6A3FA">
            <wp:extent cx="6258964" cy="1214276"/>
            <wp:effectExtent l="0" t="0" r="889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270295" cy="1216474"/>
                    </a:xfrm>
                    <a:prstGeom prst="rect">
                      <a:avLst/>
                    </a:prstGeom>
                    <a:noFill/>
                  </pic:spPr>
                </pic:pic>
              </a:graphicData>
            </a:graphic>
          </wp:inline>
        </w:drawing>
      </w:r>
    </w:p>
    <w:p w14:paraId="77A08451" w14:textId="360CFFB1" w:rsidR="009E3487" w:rsidRPr="00E84600" w:rsidRDefault="009E3487" w:rsidP="009E3487">
      <w:pPr>
        <w:pStyle w:val="Caption"/>
      </w:pPr>
      <w:r>
        <w:t xml:space="preserve">Figure </w:t>
      </w:r>
      <w:r>
        <w:fldChar w:fldCharType="begin"/>
      </w:r>
      <w:r>
        <w:instrText xml:space="preserve"> SEQ Figure \* ARABIC </w:instrText>
      </w:r>
      <w:r>
        <w:fldChar w:fldCharType="separate"/>
      </w:r>
      <w:r>
        <w:rPr>
          <w:noProof/>
        </w:rPr>
        <w:t>3</w:t>
      </w:r>
      <w:r>
        <w:fldChar w:fldCharType="end"/>
      </w:r>
      <w:r>
        <w:t xml:space="preserve"> Example IAB node as a DU, supported by CU in gNB serving backhaul link</w:t>
      </w:r>
      <w:r>
        <w:tab/>
      </w:r>
    </w:p>
    <w:p w14:paraId="2E168E18" w14:textId="74605B3C" w:rsidR="0075106C" w:rsidRDefault="0075106C" w:rsidP="0075106C">
      <w:pPr>
        <w:pStyle w:val="Observation"/>
      </w:pPr>
      <w:bookmarkStart w:id="18" w:name="_Toc506544086"/>
      <w:bookmarkStart w:id="19" w:name="_Toc506560622"/>
      <w:r>
        <w:t xml:space="preserve">The following options for the IAB functionality </w:t>
      </w:r>
      <w:r w:rsidR="009F306A">
        <w:t xml:space="preserve">and the functional split towards other nodes </w:t>
      </w:r>
      <w:r>
        <w:t>could be considered:</w:t>
      </w:r>
      <w:bookmarkEnd w:id="18"/>
      <w:bookmarkEnd w:id="19"/>
    </w:p>
    <w:p w14:paraId="0C35B218" w14:textId="7B259AFB" w:rsidR="0075106C" w:rsidRDefault="0075106C" w:rsidP="0075106C">
      <w:pPr>
        <w:pStyle w:val="Observation"/>
        <w:numPr>
          <w:ilvl w:val="1"/>
          <w:numId w:val="13"/>
        </w:numPr>
      </w:pPr>
      <w:bookmarkStart w:id="20" w:name="_Toc506544087"/>
      <w:bookmarkStart w:id="21" w:name="_Toc506560623"/>
      <w:r>
        <w:t>The IAB node is a full gNB visible in CN (over NG interface) and surrounding RAN nodes (X2/</w:t>
      </w:r>
      <w:proofErr w:type="spellStart"/>
      <w:r>
        <w:t>Xn</w:t>
      </w:r>
      <w:proofErr w:type="spellEnd"/>
      <w:r>
        <w:t>)</w:t>
      </w:r>
      <w:bookmarkEnd w:id="20"/>
      <w:bookmarkEnd w:id="21"/>
      <w:r w:rsidR="00DE1D3B">
        <w:t>,</w:t>
      </w:r>
    </w:p>
    <w:p w14:paraId="25BA5134" w14:textId="1CEB2A12" w:rsidR="0075106C" w:rsidRDefault="0075106C" w:rsidP="0075106C">
      <w:pPr>
        <w:pStyle w:val="Observation"/>
        <w:numPr>
          <w:ilvl w:val="1"/>
          <w:numId w:val="13"/>
        </w:numPr>
      </w:pPr>
      <w:bookmarkStart w:id="22" w:name="_Toc506544088"/>
      <w:bookmarkStart w:id="23" w:name="_Toc506560624"/>
      <w:r>
        <w:t>The IAB node is a full gNB but it is hidden by a donor gNB acting as an NG/X2/</w:t>
      </w:r>
      <w:proofErr w:type="spellStart"/>
      <w:r>
        <w:t>Xn</w:t>
      </w:r>
      <w:proofErr w:type="spellEnd"/>
      <w:r>
        <w:t xml:space="preserve"> proxy (similar to LTE Rel-10)</w:t>
      </w:r>
      <w:bookmarkEnd w:id="22"/>
      <w:bookmarkEnd w:id="23"/>
      <w:r w:rsidR="00DE1D3B">
        <w:t>,</w:t>
      </w:r>
      <w:bookmarkStart w:id="24" w:name="_GoBack"/>
      <w:bookmarkEnd w:id="24"/>
    </w:p>
    <w:p w14:paraId="3DDD6915" w14:textId="042237CD" w:rsidR="0075106C" w:rsidRDefault="0075106C" w:rsidP="0075106C">
      <w:pPr>
        <w:pStyle w:val="Observation"/>
        <w:numPr>
          <w:ilvl w:val="1"/>
          <w:numId w:val="13"/>
        </w:numPr>
      </w:pPr>
      <w:bookmarkStart w:id="25" w:name="_Toc506544089"/>
      <w:bookmarkStart w:id="26" w:name="_Toc506560625"/>
      <w:r>
        <w:t>The IAB nod</w:t>
      </w:r>
      <w:r w:rsidR="009F306A">
        <w:t>e</w:t>
      </w:r>
      <w:r>
        <w:t xml:space="preserve"> is a DU, which is served by a CU located in the “wired” part of the network</w:t>
      </w:r>
      <w:bookmarkEnd w:id="25"/>
      <w:bookmarkEnd w:id="26"/>
      <w:r w:rsidR="00ED7156">
        <w:t>.</w:t>
      </w:r>
    </w:p>
    <w:p w14:paraId="173EDD16" w14:textId="77777777" w:rsidR="009E3487" w:rsidRPr="00584864" w:rsidRDefault="009E3487" w:rsidP="0075106C">
      <w:pPr>
        <w:pStyle w:val="Observation"/>
        <w:numPr>
          <w:ilvl w:val="0"/>
          <w:numId w:val="0"/>
        </w:numPr>
        <w:ind w:left="1701"/>
      </w:pPr>
    </w:p>
    <w:p w14:paraId="3CC0AC0A" w14:textId="792C42E4" w:rsidR="009F306A" w:rsidRDefault="009F306A" w:rsidP="009F306A">
      <w:pPr>
        <w:pStyle w:val="Heading1"/>
      </w:pPr>
      <w:r>
        <w:t>Proposed way forward</w:t>
      </w:r>
      <w:r w:rsidR="00BE2405">
        <w:t xml:space="preserve"> on IAB node functionality and the functional split</w:t>
      </w:r>
    </w:p>
    <w:p w14:paraId="6D302357" w14:textId="1680356E" w:rsidR="009F306A" w:rsidRDefault="009F306A" w:rsidP="009F306A">
      <w:r>
        <w:t>Analysing the possible options in the previous section</w:t>
      </w:r>
      <w:r w:rsidR="0046174F">
        <w:t>,</w:t>
      </w:r>
      <w:r>
        <w:t xml:space="preserve"> we think there are clear benefits with adopting the CU / DU split for IAB nodes (option c). </w:t>
      </w:r>
    </w:p>
    <w:p w14:paraId="6D4B4805" w14:textId="3C8F14A2" w:rsidR="009F306A" w:rsidRDefault="009F306A" w:rsidP="009F306A">
      <w:r>
        <w:t xml:space="preserve">Adopting </w:t>
      </w:r>
      <w:proofErr w:type="gramStart"/>
      <w:r>
        <w:t>option</w:t>
      </w:r>
      <w:proofErr w:type="gramEnd"/>
      <w:r>
        <w:t xml:space="preserve"> a) would have the drawback that all interfaces need to be brought down to the IAB node</w:t>
      </w:r>
      <w:r w:rsidR="006000F2">
        <w:t xml:space="preserve"> which will mean more signalling towards the IAB node. In this solution there would also not be any central unit in control of both the IAB node and the backhaul link</w:t>
      </w:r>
      <w:r>
        <w:t xml:space="preserve">. This would make it difficult to optimize the performance considering both access and backhaul ling. E.g. in case of </w:t>
      </w:r>
      <w:proofErr w:type="spellStart"/>
      <w:r>
        <w:t>inband</w:t>
      </w:r>
      <w:proofErr w:type="spellEnd"/>
      <w:r>
        <w:t xml:space="preserve"> relaying it will be difficult to optimize the resource allocation between the two links.</w:t>
      </w:r>
    </w:p>
    <w:p w14:paraId="5431706D" w14:textId="1F4BFEB7" w:rsidR="009F306A" w:rsidRDefault="009F306A" w:rsidP="009F306A">
      <w:r>
        <w:lastRenderedPageBreak/>
        <w:t>Option b) addresses some of the problems with option a) but it does this in a more complex and inefficient way than the CU/DU split. Significant work w</w:t>
      </w:r>
      <w:r w:rsidR="00AB3F50">
        <w:t xml:space="preserve">ill be required </w:t>
      </w:r>
      <w:r>
        <w:t xml:space="preserve">in 3GPP to define the proxy functionality in the Donor-gNB. In our </w:t>
      </w:r>
      <w:r w:rsidR="00AB3F50">
        <w:t>experience</w:t>
      </w:r>
      <w:r>
        <w:t xml:space="preserve"> proxy solutions are also less reliable and could introduce additional complexities </w:t>
      </w:r>
      <w:r w:rsidR="00AB3F50">
        <w:t xml:space="preserve">in </w:t>
      </w:r>
      <w:r>
        <w:t xml:space="preserve">handling the end to end link which would also need careful consideration. </w:t>
      </w:r>
    </w:p>
    <w:p w14:paraId="24CDDD48" w14:textId="417772D8" w:rsidR="009F306A" w:rsidRPr="00BE2405" w:rsidRDefault="002E5C05" w:rsidP="009F306A">
      <w:r>
        <w:t>The</w:t>
      </w:r>
      <w:r w:rsidR="009F306A">
        <w:t xml:space="preserve"> key </w:t>
      </w:r>
      <w:r w:rsidR="009F306A" w:rsidRPr="00BE2405">
        <w:t>advantages for CU / DU split are:</w:t>
      </w:r>
    </w:p>
    <w:p w14:paraId="3B4ECC4B" w14:textId="77777777" w:rsidR="00BE2405" w:rsidRPr="00BE2405" w:rsidRDefault="00BE2405" w:rsidP="00BE2405">
      <w:pPr>
        <w:pStyle w:val="ListParagraph"/>
        <w:numPr>
          <w:ilvl w:val="0"/>
          <w:numId w:val="17"/>
        </w:numPr>
      </w:pPr>
      <w:r w:rsidRPr="00BE2405">
        <w:t>The end user UEs are seen in the central CU, this allows future optimizations such as</w:t>
      </w:r>
    </w:p>
    <w:p w14:paraId="590021ED" w14:textId="77777777" w:rsidR="00BE2405" w:rsidRPr="00BE2405" w:rsidRDefault="00BE2405" w:rsidP="00BE2405">
      <w:pPr>
        <w:pStyle w:val="ListParagraph"/>
        <w:numPr>
          <w:ilvl w:val="1"/>
          <w:numId w:val="17"/>
        </w:numPr>
      </w:pPr>
      <w:r w:rsidRPr="00BE2405">
        <w:t>utilizing the knowledge of radio resources management of both access and backhaul link</w:t>
      </w:r>
    </w:p>
    <w:p w14:paraId="75226247" w14:textId="6B783A84" w:rsidR="00BE2405" w:rsidRDefault="00BE2405" w:rsidP="00BE2405">
      <w:pPr>
        <w:pStyle w:val="ListParagraph"/>
        <w:numPr>
          <w:ilvl w:val="1"/>
          <w:numId w:val="17"/>
        </w:numPr>
      </w:pPr>
      <w:r w:rsidRPr="00BE2405">
        <w:t>optimizing UE mobility with regards to knowledge of access and backhaul link</w:t>
      </w:r>
    </w:p>
    <w:p w14:paraId="7E69BA15" w14:textId="77777777" w:rsidR="002E5C05" w:rsidRPr="00BE2405" w:rsidRDefault="002E5C05" w:rsidP="006000F2">
      <w:pPr>
        <w:pStyle w:val="ListParagraph"/>
        <w:ind w:left="1440"/>
      </w:pPr>
    </w:p>
    <w:p w14:paraId="43212E2F" w14:textId="77777777" w:rsidR="00BE2405" w:rsidRPr="00BE2405" w:rsidRDefault="00BE2405" w:rsidP="00BE2405">
      <w:pPr>
        <w:pStyle w:val="ListParagraph"/>
        <w:numPr>
          <w:ilvl w:val="0"/>
          <w:numId w:val="17"/>
        </w:numPr>
      </w:pPr>
      <w:r w:rsidRPr="00BE2405">
        <w:t>The IAB node are hidden from the rest of the network</w:t>
      </w:r>
    </w:p>
    <w:p w14:paraId="6AF5AC98" w14:textId="77777777" w:rsidR="00BE2405" w:rsidRPr="00BE2405" w:rsidRDefault="00BE2405" w:rsidP="00BE2405">
      <w:pPr>
        <w:pStyle w:val="ListParagraph"/>
        <w:numPr>
          <w:ilvl w:val="1"/>
          <w:numId w:val="17"/>
        </w:numPr>
      </w:pPr>
      <w:r w:rsidRPr="00BE2405">
        <w:t>Avoids CN signalling for intra CU UE mobility</w:t>
      </w:r>
    </w:p>
    <w:p w14:paraId="6DEB3628" w14:textId="77777777" w:rsidR="00BE2405" w:rsidRPr="00BE2405" w:rsidRDefault="00BE2405" w:rsidP="00BE2405">
      <w:pPr>
        <w:pStyle w:val="ListParagraph"/>
        <w:numPr>
          <w:ilvl w:val="1"/>
          <w:numId w:val="17"/>
        </w:numPr>
      </w:pPr>
      <w:r w:rsidRPr="00BE2405">
        <w:t xml:space="preserve">Limits interactions between IAB node and neighbouring nodes (e.g. less </w:t>
      </w:r>
      <w:proofErr w:type="spellStart"/>
      <w:r w:rsidRPr="00BE2405">
        <w:t>Xn</w:t>
      </w:r>
      <w:proofErr w:type="spellEnd"/>
      <w:r w:rsidRPr="00BE2405">
        <w:t>/X2 instances)</w:t>
      </w:r>
    </w:p>
    <w:p w14:paraId="73898EF2" w14:textId="77777777" w:rsidR="00BE2405" w:rsidRPr="00BE2405" w:rsidRDefault="00BE2405" w:rsidP="00BE2405">
      <w:pPr>
        <w:pStyle w:val="ListParagraph"/>
        <w:numPr>
          <w:ilvl w:val="1"/>
          <w:numId w:val="17"/>
        </w:numPr>
      </w:pPr>
      <w:r w:rsidRPr="00BE2405">
        <w:t>Makes it possible to move IAB node within a CU (e.g. change routing paths) without updating rest of the network</w:t>
      </w:r>
    </w:p>
    <w:p w14:paraId="3690D797" w14:textId="77777777" w:rsidR="002E5C05" w:rsidRDefault="002E5C05" w:rsidP="00BE2405">
      <w:pPr>
        <w:pStyle w:val="ListParagraph"/>
        <w:numPr>
          <w:ilvl w:val="0"/>
          <w:numId w:val="17"/>
        </w:numPr>
      </w:pPr>
    </w:p>
    <w:p w14:paraId="7F3DC1D6" w14:textId="7D941FB1" w:rsidR="00BE2405" w:rsidRPr="00BE2405" w:rsidRDefault="00BE2405" w:rsidP="00BE2405">
      <w:pPr>
        <w:pStyle w:val="ListParagraph"/>
        <w:numPr>
          <w:ilvl w:val="0"/>
          <w:numId w:val="17"/>
        </w:numPr>
      </w:pPr>
      <w:r w:rsidRPr="00BE2405">
        <w:t>Allows a smooth migration of IAB node to “normal” DUs once connected to normal transport in network supporting CU/DU split</w:t>
      </w:r>
    </w:p>
    <w:p w14:paraId="1281957E" w14:textId="77777777" w:rsidR="002E5C05" w:rsidRDefault="002E5C05" w:rsidP="006000F2">
      <w:pPr>
        <w:pStyle w:val="ListParagraph"/>
      </w:pPr>
    </w:p>
    <w:p w14:paraId="7F422C8B" w14:textId="54F3A06E" w:rsidR="00BE2405" w:rsidRPr="00BE2405" w:rsidRDefault="002E5C05" w:rsidP="00BE2405">
      <w:pPr>
        <w:pStyle w:val="ListParagraph"/>
        <w:numPr>
          <w:ilvl w:val="0"/>
          <w:numId w:val="17"/>
        </w:numPr>
      </w:pPr>
      <w:r>
        <w:t xml:space="preserve">Other </w:t>
      </w:r>
      <w:r w:rsidR="00BE2405" w:rsidRPr="00BE2405">
        <w:t>advantages</w:t>
      </w:r>
      <w:r>
        <w:t>:</w:t>
      </w:r>
    </w:p>
    <w:p w14:paraId="28B3CFCD" w14:textId="4204D22F" w:rsidR="00BE2405" w:rsidRPr="00BE2405" w:rsidRDefault="00BE2405" w:rsidP="00BE2405">
      <w:pPr>
        <w:pStyle w:val="ListParagraph"/>
        <w:numPr>
          <w:ilvl w:val="1"/>
          <w:numId w:val="17"/>
        </w:numPr>
      </w:pPr>
      <w:r w:rsidRPr="00BE2405">
        <w:t xml:space="preserve">Terminate UE RRC/PDCP security in a central place which may be useful </w:t>
      </w:r>
      <w:r w:rsidR="002E5C05">
        <w:t>as</w:t>
      </w:r>
      <w:r w:rsidR="002E5C05" w:rsidRPr="00BE2405">
        <w:t xml:space="preserve"> </w:t>
      </w:r>
      <w:r w:rsidRPr="00BE2405">
        <w:t xml:space="preserve">IAB nodes </w:t>
      </w:r>
      <w:r w:rsidR="002E5C05">
        <w:t xml:space="preserve">may </w:t>
      </w:r>
      <w:r w:rsidRPr="00BE2405">
        <w:t xml:space="preserve">be </w:t>
      </w:r>
      <w:r w:rsidR="002E5C05">
        <w:t xml:space="preserve">physically </w:t>
      </w:r>
      <w:r w:rsidRPr="00BE2405">
        <w:t>located in less secure places</w:t>
      </w:r>
    </w:p>
    <w:p w14:paraId="1537B654" w14:textId="1D9E205D" w:rsidR="00BE2405" w:rsidRPr="00BE2405" w:rsidRDefault="00BE2405" w:rsidP="00BE2405">
      <w:pPr>
        <w:pStyle w:val="ListParagraph"/>
        <w:numPr>
          <w:ilvl w:val="1"/>
          <w:numId w:val="17"/>
        </w:numPr>
      </w:pPr>
      <w:r w:rsidRPr="00BE2405">
        <w:t>Centralized PDCP for dual connectivity and optimized mobility. If PDCP is terminated in the IAB node</w:t>
      </w:r>
      <w:r w:rsidR="002E5C05">
        <w:t>,</w:t>
      </w:r>
      <w:r w:rsidRPr="00BE2405">
        <w:t xml:space="preserve"> the packets for DC and at packet forwarding would need to traverse the last hop multiple times. </w:t>
      </w:r>
    </w:p>
    <w:p w14:paraId="76B735F8" w14:textId="6635584A" w:rsidR="00BE2405" w:rsidRPr="00E84600" w:rsidRDefault="00BE2405" w:rsidP="00BE2405">
      <w:pPr>
        <w:pStyle w:val="Proposal"/>
      </w:pPr>
      <w:bookmarkStart w:id="27" w:name="_Toc506544090"/>
      <w:bookmarkStart w:id="28" w:name="_Toc506544130"/>
      <w:bookmarkStart w:id="29" w:name="_Toc506560626"/>
      <w:r w:rsidRPr="00E84600">
        <w:t xml:space="preserve">The SI on IAB should </w:t>
      </w:r>
      <w:r w:rsidR="00824F3D">
        <w:t xml:space="preserve">adopt the </w:t>
      </w:r>
      <w:r w:rsidRPr="00E84600">
        <w:t>CU/DU split solution</w:t>
      </w:r>
      <w:bookmarkEnd w:id="27"/>
      <w:r w:rsidR="00824F3D">
        <w:t xml:space="preserve"> where the IAB node is a DU</w:t>
      </w:r>
      <w:bookmarkEnd w:id="28"/>
      <w:bookmarkEnd w:id="29"/>
      <w:r w:rsidR="00AF247C">
        <w:t>.</w:t>
      </w:r>
    </w:p>
    <w:p w14:paraId="17E17032" w14:textId="3B54B103" w:rsidR="009F306A" w:rsidRDefault="009F306A" w:rsidP="009F306A"/>
    <w:p w14:paraId="3B1784CD" w14:textId="1BA583FF" w:rsidR="00BE2405" w:rsidRDefault="00BE2405" w:rsidP="00BE2405">
      <w:pPr>
        <w:pStyle w:val="Heading1"/>
      </w:pPr>
      <w:r>
        <w:t>More details on CU / DU split option</w:t>
      </w:r>
    </w:p>
    <w:p w14:paraId="7BDD58D0" w14:textId="373A5447" w:rsidR="00BE2405" w:rsidRDefault="00BE2405" w:rsidP="009F306A">
      <w:r>
        <w:t xml:space="preserve">Assuming </w:t>
      </w:r>
      <w:r w:rsidR="002E5C05">
        <w:t xml:space="preserve">the </w:t>
      </w:r>
      <w:r>
        <w:t>CU/DU split option is agreed for IAB</w:t>
      </w:r>
      <w:r w:rsidR="002E5C05">
        <w:t>,</w:t>
      </w:r>
      <w:r>
        <w:t xml:space="preserve"> it should further be discussed which protocol layers of the F1 interface </w:t>
      </w:r>
      <w:r w:rsidR="002E5C05">
        <w:t xml:space="preserve">are </w:t>
      </w:r>
      <w:r>
        <w:t>brought down to the IAB node.</w:t>
      </w:r>
    </w:p>
    <w:p w14:paraId="19836FA1" w14:textId="77777777" w:rsidR="00BE2405" w:rsidRDefault="00BE2405" w:rsidP="009F306A">
      <w:r>
        <w:t>The F1 interface is currently made up of the following protocol layers:</w:t>
      </w:r>
    </w:p>
    <w:tbl>
      <w:tblPr>
        <w:tblStyle w:val="TableGrid"/>
        <w:tblW w:w="0" w:type="auto"/>
        <w:tblLook w:val="04A0" w:firstRow="1" w:lastRow="0" w:firstColumn="1" w:lastColumn="0" w:noHBand="0" w:noVBand="1"/>
      </w:tblPr>
      <w:tblGrid>
        <w:gridCol w:w="4814"/>
        <w:gridCol w:w="4815"/>
      </w:tblGrid>
      <w:tr w:rsidR="00060391" w14:paraId="3E432476" w14:textId="77777777" w:rsidTr="004C10B1">
        <w:tc>
          <w:tcPr>
            <w:tcW w:w="9629" w:type="dxa"/>
            <w:gridSpan w:val="2"/>
          </w:tcPr>
          <w:p w14:paraId="1661BAAC" w14:textId="73DBB194" w:rsidR="00060391" w:rsidRPr="006000F2" w:rsidRDefault="00060391" w:rsidP="006000F2">
            <w:pPr>
              <w:jc w:val="center"/>
              <w:rPr>
                <w:b/>
              </w:rPr>
            </w:pPr>
            <w:r w:rsidRPr="006000F2">
              <w:rPr>
                <w:b/>
              </w:rPr>
              <w:t>Control plane</w:t>
            </w:r>
          </w:p>
        </w:tc>
      </w:tr>
      <w:tr w:rsidR="00060391" w14:paraId="091119B7" w14:textId="77777777" w:rsidTr="00060391">
        <w:tc>
          <w:tcPr>
            <w:tcW w:w="4814" w:type="dxa"/>
          </w:tcPr>
          <w:p w14:paraId="30DAA3C0" w14:textId="423DB844" w:rsidR="00060391" w:rsidRDefault="00060391" w:rsidP="009F306A">
            <w:r>
              <w:t>F1-AP</w:t>
            </w:r>
          </w:p>
        </w:tc>
        <w:tc>
          <w:tcPr>
            <w:tcW w:w="4815" w:type="dxa"/>
          </w:tcPr>
          <w:p w14:paraId="4EC8D145" w14:textId="53C000BB" w:rsidR="00060391" w:rsidRDefault="00060391">
            <w:r>
              <w:t>The control protocol of F1. Provides F1 interface management, Sys Info management, UE context management and RRC message transfer.</w:t>
            </w:r>
          </w:p>
        </w:tc>
      </w:tr>
      <w:tr w:rsidR="00060391" w14:paraId="306685DA" w14:textId="77777777" w:rsidTr="00060391">
        <w:tc>
          <w:tcPr>
            <w:tcW w:w="4814" w:type="dxa"/>
          </w:tcPr>
          <w:p w14:paraId="70142631" w14:textId="7213B4BF" w:rsidR="00060391" w:rsidRDefault="00060391" w:rsidP="009F306A">
            <w:r>
              <w:t>SCTP</w:t>
            </w:r>
          </w:p>
        </w:tc>
        <w:tc>
          <w:tcPr>
            <w:tcW w:w="4815" w:type="dxa"/>
          </w:tcPr>
          <w:p w14:paraId="500A2627" w14:textId="764E22AF" w:rsidR="00060391" w:rsidRDefault="00060391" w:rsidP="009F306A">
            <w:r>
              <w:t>Provides</w:t>
            </w:r>
            <w:r w:rsidR="002E5C05">
              <w:t xml:space="preserve"> a</w:t>
            </w:r>
            <w:r>
              <w:t xml:space="preserve"> reliable in-order delivery of F1-AP messages.</w:t>
            </w:r>
          </w:p>
        </w:tc>
      </w:tr>
      <w:tr w:rsidR="00060391" w14:paraId="7715BB74" w14:textId="77777777" w:rsidTr="00060391">
        <w:tc>
          <w:tcPr>
            <w:tcW w:w="4814" w:type="dxa"/>
          </w:tcPr>
          <w:p w14:paraId="6829D44F" w14:textId="2D6CB8FE" w:rsidR="00060391" w:rsidRDefault="00060391" w:rsidP="009F306A">
            <w:r>
              <w:t xml:space="preserve">IP </w:t>
            </w:r>
          </w:p>
        </w:tc>
        <w:tc>
          <w:tcPr>
            <w:tcW w:w="4815" w:type="dxa"/>
          </w:tcPr>
          <w:p w14:paraId="27C2CBEB" w14:textId="76E75210" w:rsidR="00060391" w:rsidRDefault="004C10B1" w:rsidP="009F306A">
            <w:r>
              <w:t>IP connectivity between CU and DU</w:t>
            </w:r>
          </w:p>
        </w:tc>
      </w:tr>
      <w:tr w:rsidR="004C10B1" w14:paraId="4736945C" w14:textId="77777777" w:rsidTr="004C10B1">
        <w:tc>
          <w:tcPr>
            <w:tcW w:w="9629" w:type="dxa"/>
            <w:gridSpan w:val="2"/>
          </w:tcPr>
          <w:p w14:paraId="04C651A3" w14:textId="77777777" w:rsidR="004C10B1" w:rsidRDefault="004C10B1" w:rsidP="009F306A"/>
        </w:tc>
      </w:tr>
      <w:tr w:rsidR="004C10B1" w14:paraId="135B2A1B" w14:textId="77777777" w:rsidTr="004C10B1">
        <w:tc>
          <w:tcPr>
            <w:tcW w:w="9629" w:type="dxa"/>
            <w:gridSpan w:val="2"/>
          </w:tcPr>
          <w:p w14:paraId="08CF4A1F" w14:textId="2735DDF1" w:rsidR="004C10B1" w:rsidRPr="006000F2" w:rsidRDefault="004C10B1" w:rsidP="006000F2">
            <w:pPr>
              <w:jc w:val="center"/>
              <w:rPr>
                <w:b/>
              </w:rPr>
            </w:pPr>
            <w:r w:rsidRPr="006000F2">
              <w:rPr>
                <w:b/>
              </w:rPr>
              <w:t>Use plane</w:t>
            </w:r>
          </w:p>
        </w:tc>
      </w:tr>
      <w:tr w:rsidR="00060391" w14:paraId="66727C46" w14:textId="77777777" w:rsidTr="00060391">
        <w:tc>
          <w:tcPr>
            <w:tcW w:w="4814" w:type="dxa"/>
          </w:tcPr>
          <w:p w14:paraId="2B6B130B" w14:textId="11C95FE3" w:rsidR="00060391" w:rsidRDefault="004C10B1" w:rsidP="009F306A">
            <w:r>
              <w:t>“NR user plane protocol”</w:t>
            </w:r>
          </w:p>
        </w:tc>
        <w:tc>
          <w:tcPr>
            <w:tcW w:w="4815" w:type="dxa"/>
          </w:tcPr>
          <w:p w14:paraId="45C6608B" w14:textId="03230F05" w:rsidR="00060391" w:rsidRDefault="004C10B1" w:rsidP="009F306A">
            <w:r>
              <w:t>Flow control, delivery notification</w:t>
            </w:r>
          </w:p>
        </w:tc>
      </w:tr>
      <w:tr w:rsidR="00060391" w14:paraId="13A7B26B" w14:textId="77777777" w:rsidTr="00060391">
        <w:tc>
          <w:tcPr>
            <w:tcW w:w="4814" w:type="dxa"/>
          </w:tcPr>
          <w:p w14:paraId="51168A15" w14:textId="0F2FF2EC" w:rsidR="00060391" w:rsidRDefault="004C10B1" w:rsidP="009F306A">
            <w:r>
              <w:t>GTP</w:t>
            </w:r>
            <w:r w:rsidR="00824F3D">
              <w:t>-U</w:t>
            </w:r>
            <w:r>
              <w:t xml:space="preserve"> + extension header</w:t>
            </w:r>
          </w:p>
        </w:tc>
        <w:tc>
          <w:tcPr>
            <w:tcW w:w="4815" w:type="dxa"/>
          </w:tcPr>
          <w:p w14:paraId="68BC1CBF" w14:textId="3C55D8FE" w:rsidR="00060391" w:rsidRDefault="004C10B1" w:rsidP="009F306A">
            <w:r>
              <w:t>Delivery of packets to right UE context (identified with GTP TEID), detection of losses on backhaul, …</w:t>
            </w:r>
          </w:p>
        </w:tc>
      </w:tr>
      <w:tr w:rsidR="004C10B1" w14:paraId="7E22BDA1" w14:textId="77777777" w:rsidTr="00060391">
        <w:tc>
          <w:tcPr>
            <w:tcW w:w="4814" w:type="dxa"/>
          </w:tcPr>
          <w:p w14:paraId="58D43FE8" w14:textId="62BED531" w:rsidR="004C10B1" w:rsidRDefault="004C10B1" w:rsidP="004C10B1">
            <w:r>
              <w:t>UDP</w:t>
            </w:r>
          </w:p>
        </w:tc>
        <w:tc>
          <w:tcPr>
            <w:tcW w:w="4815" w:type="dxa"/>
          </w:tcPr>
          <w:p w14:paraId="61A47B80" w14:textId="758BC837" w:rsidR="004C10B1" w:rsidRDefault="004C10B1" w:rsidP="004C10B1">
            <w:r>
              <w:t>NA</w:t>
            </w:r>
          </w:p>
        </w:tc>
      </w:tr>
      <w:tr w:rsidR="004C10B1" w14:paraId="7B9F1232" w14:textId="77777777" w:rsidTr="00060391">
        <w:tc>
          <w:tcPr>
            <w:tcW w:w="4814" w:type="dxa"/>
          </w:tcPr>
          <w:p w14:paraId="5CC82207" w14:textId="6E5677CA" w:rsidR="004C10B1" w:rsidRDefault="004C10B1" w:rsidP="004C10B1">
            <w:r>
              <w:t xml:space="preserve">IP </w:t>
            </w:r>
          </w:p>
        </w:tc>
        <w:tc>
          <w:tcPr>
            <w:tcW w:w="4815" w:type="dxa"/>
          </w:tcPr>
          <w:p w14:paraId="04CE5BA9" w14:textId="063E6757" w:rsidR="004C10B1" w:rsidRDefault="004C10B1" w:rsidP="004C10B1">
            <w:r>
              <w:t>IP connectivity between CU and DU</w:t>
            </w:r>
          </w:p>
        </w:tc>
      </w:tr>
    </w:tbl>
    <w:p w14:paraId="64CDD6BF" w14:textId="77777777" w:rsidR="00BE2405" w:rsidRDefault="00BE2405" w:rsidP="009F306A"/>
    <w:p w14:paraId="6A29B7B3" w14:textId="77777777" w:rsidR="004C10B1" w:rsidRDefault="004C10B1" w:rsidP="009F306A">
      <w:r>
        <w:t>In our view it is clearly beneficial if most of the protocols above are brought down to the IAB node:</w:t>
      </w:r>
    </w:p>
    <w:p w14:paraId="6B76D82C" w14:textId="474FE5A2" w:rsidR="004C10B1" w:rsidRDefault="004C10B1" w:rsidP="004C10B1">
      <w:pPr>
        <w:pStyle w:val="ListParagraph"/>
        <w:numPr>
          <w:ilvl w:val="0"/>
          <w:numId w:val="17"/>
        </w:numPr>
      </w:pPr>
      <w:r>
        <w:t>Replacing F1-AP with something else would generate significant work and with limited benefits</w:t>
      </w:r>
    </w:p>
    <w:p w14:paraId="3E082C35" w14:textId="044438D9" w:rsidR="004C10B1" w:rsidRDefault="004C10B1" w:rsidP="004C10B1">
      <w:pPr>
        <w:pStyle w:val="ListParagraph"/>
        <w:numPr>
          <w:ilvl w:val="0"/>
          <w:numId w:val="17"/>
        </w:numPr>
      </w:pPr>
      <w:r>
        <w:lastRenderedPageBreak/>
        <w:t xml:space="preserve">SCTP could potentially be replace by radio layer functions but the pros and cons need to be carefully analysed. </w:t>
      </w:r>
    </w:p>
    <w:p w14:paraId="0802887E" w14:textId="501B403F" w:rsidR="004C10B1" w:rsidRDefault="004C10B1" w:rsidP="004C10B1">
      <w:pPr>
        <w:pStyle w:val="ListParagraph"/>
        <w:numPr>
          <w:ilvl w:val="0"/>
          <w:numId w:val="17"/>
        </w:numPr>
      </w:pPr>
      <w:r>
        <w:t xml:space="preserve">It is very beneficial to support IP connectivity to the IAB node since this would make it possible to support existing OAM interfaces which are needed to configure the </w:t>
      </w:r>
      <w:r w:rsidR="002E5C05">
        <w:t xml:space="preserve">IAB node (i.e. a </w:t>
      </w:r>
      <w:r>
        <w:t>DU</w:t>
      </w:r>
      <w:r w:rsidR="002E5C05">
        <w:t>)</w:t>
      </w:r>
      <w:r>
        <w:t xml:space="preserve">. </w:t>
      </w:r>
    </w:p>
    <w:p w14:paraId="6CED323F" w14:textId="0BF371C8" w:rsidR="00BE2405" w:rsidRDefault="004C10B1" w:rsidP="004C10B1">
      <w:pPr>
        <w:pStyle w:val="ListParagraph"/>
        <w:numPr>
          <w:ilvl w:val="0"/>
          <w:numId w:val="17"/>
        </w:numPr>
      </w:pPr>
      <w:r>
        <w:t>NR user plane protocol and GTP provide useful functionality today and it is not clear what would be the benefit replacing them</w:t>
      </w:r>
      <w:r w:rsidR="002E5C05">
        <w:t xml:space="preserve"> with some new adaptation layer</w:t>
      </w:r>
      <w:r>
        <w:t xml:space="preserve">. </w:t>
      </w:r>
    </w:p>
    <w:p w14:paraId="49A277C7" w14:textId="77777777" w:rsidR="00824F3D" w:rsidRDefault="00824F3D" w:rsidP="00824F3D">
      <w:pPr>
        <w:pStyle w:val="Proposal"/>
      </w:pPr>
      <w:bookmarkStart w:id="30" w:name="_Toc506544091"/>
      <w:bookmarkStart w:id="31" w:name="_Toc506544131"/>
      <w:bookmarkStart w:id="32" w:name="_Toc506560627"/>
      <w:r>
        <w:t>The IAB node should at least terminate following protocols towards the IAB backhaul link:</w:t>
      </w:r>
      <w:bookmarkEnd w:id="30"/>
      <w:bookmarkEnd w:id="31"/>
      <w:bookmarkEnd w:id="32"/>
    </w:p>
    <w:p w14:paraId="77A499F2" w14:textId="3F0E3E05" w:rsidR="00824F3D" w:rsidRDefault="00824F3D" w:rsidP="00824F3D">
      <w:pPr>
        <w:pStyle w:val="Proposal"/>
        <w:numPr>
          <w:ilvl w:val="1"/>
          <w:numId w:val="3"/>
        </w:numPr>
      </w:pPr>
      <w:bookmarkStart w:id="33" w:name="_Toc506544092"/>
      <w:bookmarkStart w:id="34" w:name="_Toc506544132"/>
      <w:bookmarkStart w:id="35" w:name="_Toc506560628"/>
      <w:r>
        <w:t>F1-AP</w:t>
      </w:r>
      <w:bookmarkEnd w:id="33"/>
      <w:bookmarkEnd w:id="34"/>
      <w:bookmarkEnd w:id="35"/>
      <w:r w:rsidR="004F400E">
        <w:t>,</w:t>
      </w:r>
    </w:p>
    <w:p w14:paraId="67FFBE70" w14:textId="0742C587" w:rsidR="00824F3D" w:rsidRDefault="00824F3D" w:rsidP="00824F3D">
      <w:pPr>
        <w:pStyle w:val="Proposal"/>
        <w:numPr>
          <w:ilvl w:val="1"/>
          <w:numId w:val="3"/>
        </w:numPr>
      </w:pPr>
      <w:bookmarkStart w:id="36" w:name="_Toc506544093"/>
      <w:bookmarkStart w:id="37" w:name="_Toc506544133"/>
      <w:bookmarkStart w:id="38" w:name="_Toc506560629"/>
      <w:r>
        <w:t>IP</w:t>
      </w:r>
      <w:bookmarkEnd w:id="36"/>
      <w:bookmarkEnd w:id="37"/>
      <w:bookmarkEnd w:id="38"/>
      <w:r w:rsidR="004F400E">
        <w:t>,</w:t>
      </w:r>
    </w:p>
    <w:p w14:paraId="74CDC1F8" w14:textId="228FB560" w:rsidR="00824F3D" w:rsidRDefault="00824F3D" w:rsidP="00824F3D">
      <w:pPr>
        <w:pStyle w:val="Proposal"/>
        <w:numPr>
          <w:ilvl w:val="1"/>
          <w:numId w:val="3"/>
        </w:numPr>
      </w:pPr>
      <w:bookmarkStart w:id="39" w:name="_Toc506544094"/>
      <w:bookmarkStart w:id="40" w:name="_Toc506544134"/>
      <w:bookmarkStart w:id="41" w:name="_Toc506560630"/>
      <w:r>
        <w:t>“NR user plane protocol”</w:t>
      </w:r>
      <w:bookmarkEnd w:id="39"/>
      <w:bookmarkEnd w:id="40"/>
      <w:bookmarkEnd w:id="41"/>
      <w:r w:rsidR="004F400E">
        <w:t>,</w:t>
      </w:r>
    </w:p>
    <w:p w14:paraId="50C3D2F4" w14:textId="571214ED" w:rsidR="00824F3D" w:rsidRDefault="00824F3D" w:rsidP="00824F3D">
      <w:pPr>
        <w:pStyle w:val="Proposal"/>
        <w:numPr>
          <w:ilvl w:val="1"/>
          <w:numId w:val="3"/>
        </w:numPr>
      </w:pPr>
      <w:bookmarkStart w:id="42" w:name="_Toc506544095"/>
      <w:bookmarkStart w:id="43" w:name="_Toc506544135"/>
      <w:bookmarkStart w:id="44" w:name="_Toc506560631"/>
      <w:r>
        <w:t>GTP-U + extension header</w:t>
      </w:r>
      <w:bookmarkEnd w:id="42"/>
      <w:bookmarkEnd w:id="43"/>
      <w:bookmarkEnd w:id="44"/>
      <w:r w:rsidR="00ED7156">
        <w:t>.</w:t>
      </w:r>
    </w:p>
    <w:p w14:paraId="3B15A56F" w14:textId="77777777" w:rsidR="003742AC" w:rsidRPr="00CE0424" w:rsidRDefault="003742AC" w:rsidP="006E062C"/>
    <w:p w14:paraId="4878691E" w14:textId="77777777" w:rsidR="00C01F33" w:rsidRPr="00CE0424" w:rsidRDefault="00C01F33" w:rsidP="00CE0424">
      <w:pPr>
        <w:pStyle w:val="Heading1"/>
      </w:pPr>
      <w:r w:rsidRPr="00CE0424">
        <w:t>Conclusion</w:t>
      </w:r>
    </w:p>
    <w:p w14:paraId="68890B8A" w14:textId="77777777" w:rsidR="005803DE" w:rsidRDefault="008E065E">
      <w:pPr>
        <w:pStyle w:val="TOC1"/>
      </w:pPr>
      <w:r>
        <w:t xml:space="preserve">In </w:t>
      </w:r>
      <w:r w:rsidR="00B7644F">
        <w:t xml:space="preserve">earlier </w:t>
      </w:r>
      <w:r w:rsidR="00B7644F" w:rsidRPr="00CE0424">
        <w:t>section</w:t>
      </w:r>
      <w:r w:rsidR="00B7644F">
        <w:t>s</w:t>
      </w:r>
      <w:r w:rsidRPr="00CE0424">
        <w:t xml:space="preserve"> we </w:t>
      </w:r>
      <w:r>
        <w:t>made the following observations</w:t>
      </w:r>
      <w:r w:rsidRPr="00CE0424">
        <w:t>:</w:t>
      </w:r>
    </w:p>
    <w:p w14:paraId="0AF3D4A2" w14:textId="77777777" w:rsidR="005803DE" w:rsidRDefault="005803DE">
      <w:pPr>
        <w:pStyle w:val="TOC1"/>
        <w:rPr>
          <w:b w:val="0"/>
          <w:bCs/>
        </w:rPr>
      </w:pPr>
    </w:p>
    <w:p w14:paraId="4C2D31D2" w14:textId="0C3D02A4" w:rsidR="002E5C0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\t "Observation;1" </w:instrText>
      </w:r>
      <w:r>
        <w:rPr>
          <w:b w:val="0"/>
          <w:bCs/>
        </w:rPr>
        <w:fldChar w:fldCharType="separate"/>
      </w:r>
      <w:r w:rsidR="002E5C05">
        <w:t>Observation 1</w:t>
      </w:r>
      <w:r w:rsidR="002E5C05">
        <w:rPr>
          <w:rFonts w:asciiTheme="minorHAnsi" w:eastAsiaTheme="minorEastAsia" w:hAnsiTheme="minorHAnsi" w:cstheme="minorBidi"/>
          <w:b w:val="0"/>
          <w:sz w:val="22"/>
          <w:lang w:eastAsia="en-US"/>
        </w:rPr>
        <w:tab/>
      </w:r>
      <w:r w:rsidR="002E5C05">
        <w:t>For relaying in LTE Rel-10, an architecture was adopted where the Relay has the full functionality of the eNB. The Relay was connected to a Donor eNB which had among other things S1/X2 proxy functionality</w:t>
      </w:r>
      <w:r w:rsidR="00ED7156">
        <w:t>.</w:t>
      </w:r>
    </w:p>
    <w:p w14:paraId="7CDD21D2" w14:textId="77777777" w:rsidR="002E5C05" w:rsidRDefault="002E5C05">
      <w:pPr>
        <w:pStyle w:val="TOC1"/>
        <w:rPr>
          <w:rFonts w:asciiTheme="minorHAnsi" w:eastAsiaTheme="minorEastAsia" w:hAnsiTheme="minorHAnsi" w:cstheme="minorBidi"/>
          <w:b w:val="0"/>
          <w:sz w:val="22"/>
          <w:lang w:eastAsia="en-US"/>
        </w:rPr>
      </w:pPr>
      <w:r>
        <w:t>Observation 2</w:t>
      </w:r>
      <w:r>
        <w:rPr>
          <w:rFonts w:asciiTheme="minorHAnsi" w:eastAsiaTheme="minorEastAsia" w:hAnsiTheme="minorHAnsi" w:cstheme="minorBidi"/>
          <w:b w:val="0"/>
          <w:sz w:val="22"/>
          <w:lang w:eastAsia="en-US"/>
        </w:rPr>
        <w:tab/>
      </w:r>
      <w:r>
        <w:t>Support for multi-hop and redundant paths was not considered in Rel-10 and will have an impact on the architecture.</w:t>
      </w:r>
    </w:p>
    <w:p w14:paraId="4A678201" w14:textId="77777777" w:rsidR="002E5C05" w:rsidRDefault="002E5C05">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The CU/DU split has many properties also making it useful for IAB such as separation of time critical and less critical functionality, the CU hiding the DU from CN and other nodes, the possibility to optimize the IAB performance based knowledge about IAB nodes in the CU.</w:t>
      </w:r>
    </w:p>
    <w:p w14:paraId="7FF33EFE" w14:textId="77777777" w:rsidR="002E5C05" w:rsidRDefault="002E5C05">
      <w:pPr>
        <w:pStyle w:val="TOC1"/>
        <w:rPr>
          <w:rFonts w:asciiTheme="minorHAnsi" w:eastAsiaTheme="minorEastAsia" w:hAnsiTheme="minorHAnsi" w:cstheme="minorBidi"/>
          <w:b w:val="0"/>
          <w:sz w:val="22"/>
          <w:lang w:eastAsia="en-US"/>
        </w:rPr>
      </w:pPr>
      <w:r>
        <w:t>Observation 4</w:t>
      </w:r>
      <w:r>
        <w:rPr>
          <w:rFonts w:asciiTheme="minorHAnsi" w:eastAsiaTheme="minorEastAsia" w:hAnsiTheme="minorHAnsi" w:cstheme="minorBidi"/>
          <w:b w:val="0"/>
          <w:sz w:val="22"/>
          <w:lang w:eastAsia="en-US"/>
        </w:rPr>
        <w:tab/>
      </w:r>
      <w:r>
        <w:t>The following options for the IAB functionality and the functional split towards other nodes could be considered:</w:t>
      </w:r>
    </w:p>
    <w:p w14:paraId="31C4A649" w14:textId="13F774AF" w:rsidR="002E5C05" w:rsidRDefault="002E5C05">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The IAB node is a full gNB visible in CN (over NG interface) and surrounding RAN nodes (X2/Xn)</w:t>
      </w:r>
      <w:r w:rsidR="002111AB">
        <w:t>,</w:t>
      </w:r>
    </w:p>
    <w:p w14:paraId="602C1CDA" w14:textId="0C0E70BA" w:rsidR="002E5C05" w:rsidRDefault="002E5C05">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The IAB node is a full gNB but it is hidden by a donor gNB acting as an NG/X2/Xn proxy (similar to LTE Rel-10)</w:t>
      </w:r>
      <w:r w:rsidR="002111AB">
        <w:t>,</w:t>
      </w:r>
    </w:p>
    <w:p w14:paraId="175BCB56" w14:textId="12912A93" w:rsidR="002E5C05" w:rsidRDefault="002E5C05">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The IAB node is a DU, which is served by a CU located in the “wired” part of the network</w:t>
      </w:r>
      <w:r w:rsidR="00ED7156">
        <w:t>.</w:t>
      </w:r>
    </w:p>
    <w:p w14:paraId="50B94902" w14:textId="77777777" w:rsidR="008E065E" w:rsidRDefault="008E065E" w:rsidP="008E065E">
      <w:pPr>
        <w:pStyle w:val="BodyText"/>
        <w:rPr>
          <w:b/>
          <w:bCs/>
        </w:rPr>
      </w:pPr>
      <w:r>
        <w:rPr>
          <w:b/>
          <w:bCs/>
        </w:rPr>
        <w:fldChar w:fldCharType="end"/>
      </w:r>
    </w:p>
    <w:p w14:paraId="1FD31A46" w14:textId="77777777" w:rsidR="009A1BA3" w:rsidRDefault="008E065E">
      <w:pPr>
        <w:pStyle w:val="TOC1"/>
      </w:pPr>
      <w:r w:rsidRPr="00CE0424">
        <w:t xml:space="preserve">Based on the discussion in </w:t>
      </w:r>
      <w:r w:rsidR="00B7644F">
        <w:t xml:space="preserve">earlier </w:t>
      </w:r>
      <w:r w:rsidRPr="00CE0424">
        <w:t>section</w:t>
      </w:r>
      <w:r w:rsidR="00B7644F">
        <w:t>s</w:t>
      </w:r>
      <w:r w:rsidRPr="00CE0424">
        <w:t xml:space="preserve"> we propose the following:</w:t>
      </w:r>
    </w:p>
    <w:p w14:paraId="6A63758C" w14:textId="51703BC2" w:rsidR="002E5C05"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2E5C05">
        <w:t>Proposal 1</w:t>
      </w:r>
      <w:r w:rsidR="002E5C05">
        <w:rPr>
          <w:rFonts w:asciiTheme="minorHAnsi" w:eastAsiaTheme="minorEastAsia" w:hAnsiTheme="minorHAnsi" w:cstheme="minorBidi"/>
          <w:b w:val="0"/>
          <w:sz w:val="22"/>
          <w:lang w:eastAsia="en-US"/>
        </w:rPr>
        <w:tab/>
      </w:r>
      <w:r w:rsidR="002E5C05">
        <w:t>The SI on IAB should adopt the CU/DU split solution where the IAB node is a DU</w:t>
      </w:r>
      <w:r w:rsidR="009A1BA3">
        <w:t>.</w:t>
      </w:r>
    </w:p>
    <w:p w14:paraId="04A15DB8" w14:textId="77777777" w:rsidR="002E5C05" w:rsidRDefault="002E5C05">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IAB node should at least terminate following protocols towards the IAB backhaul link:</w:t>
      </w:r>
    </w:p>
    <w:p w14:paraId="3D9517DD" w14:textId="4C11669B" w:rsidR="002E5C05" w:rsidRDefault="002E5C05">
      <w:pPr>
        <w:pStyle w:val="TOC1"/>
        <w:rPr>
          <w:rFonts w:asciiTheme="minorHAnsi" w:eastAsiaTheme="minorEastAsia" w:hAnsiTheme="minorHAnsi" w:cstheme="minorBidi"/>
          <w:b w:val="0"/>
          <w:sz w:val="22"/>
          <w:lang w:eastAsia="en-US"/>
        </w:rPr>
      </w:pPr>
      <w:r>
        <w:tab/>
        <w:t>a.</w:t>
      </w:r>
      <w:r>
        <w:rPr>
          <w:rFonts w:asciiTheme="minorHAnsi" w:eastAsiaTheme="minorEastAsia" w:hAnsiTheme="minorHAnsi" w:cstheme="minorBidi"/>
          <w:b w:val="0"/>
          <w:sz w:val="22"/>
          <w:lang w:eastAsia="en-US"/>
        </w:rPr>
        <w:tab/>
      </w:r>
      <w:r>
        <w:t>F1-AP</w:t>
      </w:r>
      <w:r w:rsidR="002111AB">
        <w:t>,</w:t>
      </w:r>
    </w:p>
    <w:p w14:paraId="1BC13FB8" w14:textId="666F4221" w:rsidR="002E5C05" w:rsidRDefault="002E5C05">
      <w:pPr>
        <w:pStyle w:val="TOC1"/>
        <w:rPr>
          <w:rFonts w:asciiTheme="minorHAnsi" w:eastAsiaTheme="minorEastAsia" w:hAnsiTheme="minorHAnsi" w:cstheme="minorBidi"/>
          <w:b w:val="0"/>
          <w:sz w:val="22"/>
          <w:lang w:eastAsia="en-US"/>
        </w:rPr>
      </w:pPr>
      <w:r>
        <w:tab/>
        <w:t>b.</w:t>
      </w:r>
      <w:r>
        <w:rPr>
          <w:rFonts w:asciiTheme="minorHAnsi" w:eastAsiaTheme="minorEastAsia" w:hAnsiTheme="minorHAnsi" w:cstheme="minorBidi"/>
          <w:b w:val="0"/>
          <w:sz w:val="22"/>
          <w:lang w:eastAsia="en-US"/>
        </w:rPr>
        <w:tab/>
      </w:r>
      <w:r>
        <w:t>IP</w:t>
      </w:r>
      <w:r w:rsidR="002111AB">
        <w:t>,</w:t>
      </w:r>
    </w:p>
    <w:p w14:paraId="5FB645CA" w14:textId="7B83C9B6" w:rsidR="002E5C05" w:rsidRDefault="002E5C05">
      <w:pPr>
        <w:pStyle w:val="TOC1"/>
        <w:rPr>
          <w:rFonts w:asciiTheme="minorHAnsi" w:eastAsiaTheme="minorEastAsia" w:hAnsiTheme="minorHAnsi" w:cstheme="minorBidi"/>
          <w:b w:val="0"/>
          <w:sz w:val="22"/>
          <w:lang w:eastAsia="en-US"/>
        </w:rPr>
      </w:pPr>
      <w:r>
        <w:tab/>
        <w:t>c.</w:t>
      </w:r>
      <w:r>
        <w:rPr>
          <w:rFonts w:asciiTheme="minorHAnsi" w:eastAsiaTheme="minorEastAsia" w:hAnsiTheme="minorHAnsi" w:cstheme="minorBidi"/>
          <w:b w:val="0"/>
          <w:sz w:val="22"/>
          <w:lang w:eastAsia="en-US"/>
        </w:rPr>
        <w:tab/>
      </w:r>
      <w:r>
        <w:t>“NR user plane protocol”</w:t>
      </w:r>
      <w:r w:rsidR="002111AB">
        <w:t>,</w:t>
      </w:r>
    </w:p>
    <w:p w14:paraId="6EA04F51" w14:textId="5E984E2C" w:rsidR="002E5C05" w:rsidRDefault="002E5C05">
      <w:pPr>
        <w:pStyle w:val="TOC1"/>
        <w:rPr>
          <w:rFonts w:asciiTheme="minorHAnsi" w:eastAsiaTheme="minorEastAsia" w:hAnsiTheme="minorHAnsi" w:cstheme="minorBidi"/>
          <w:b w:val="0"/>
          <w:sz w:val="22"/>
          <w:lang w:eastAsia="en-US"/>
        </w:rPr>
      </w:pPr>
      <w:r>
        <w:tab/>
        <w:t>d.</w:t>
      </w:r>
      <w:r>
        <w:rPr>
          <w:rFonts w:asciiTheme="minorHAnsi" w:eastAsiaTheme="minorEastAsia" w:hAnsiTheme="minorHAnsi" w:cstheme="minorBidi"/>
          <w:b w:val="0"/>
          <w:sz w:val="22"/>
          <w:lang w:eastAsia="en-US"/>
        </w:rPr>
        <w:tab/>
      </w:r>
      <w:r>
        <w:t>GTP-U + extension header</w:t>
      </w:r>
      <w:r w:rsidR="002111AB">
        <w:t>.</w:t>
      </w:r>
    </w:p>
    <w:p w14:paraId="2A1E6CF2" w14:textId="77777777" w:rsidR="008E065E" w:rsidRPr="00CE0424" w:rsidRDefault="008E065E" w:rsidP="008E065E">
      <w:pPr>
        <w:rPr>
          <w:b/>
          <w:bCs/>
        </w:rPr>
      </w:pPr>
      <w:r>
        <w:rPr>
          <w:b/>
          <w:bCs/>
        </w:rPr>
        <w:fldChar w:fldCharType="end"/>
      </w:r>
    </w:p>
    <w:p w14:paraId="6C4656FA" w14:textId="77777777" w:rsidR="008E065E" w:rsidRPr="00CE0424" w:rsidRDefault="008E065E" w:rsidP="008E065E">
      <w:pPr>
        <w:rPr>
          <w:b/>
          <w:bCs/>
        </w:rPr>
      </w:pPr>
    </w:p>
    <w:p w14:paraId="1853A7C1" w14:textId="1BBAAA48" w:rsidR="003A7EF3" w:rsidRDefault="00584864" w:rsidP="00584864">
      <w:pPr>
        <w:pStyle w:val="Heading1"/>
        <w:numPr>
          <w:ilvl w:val="0"/>
          <w:numId w:val="0"/>
        </w:numPr>
      </w:pPr>
      <w:bookmarkStart w:id="45" w:name="_In-sequence_SDU_delivery"/>
      <w:bookmarkEnd w:id="45"/>
      <w:r>
        <w:lastRenderedPageBreak/>
        <w:t>Annex – RAN2 agreements</w:t>
      </w:r>
    </w:p>
    <w:p w14:paraId="596747B5" w14:textId="77777777" w:rsidR="00584864" w:rsidRDefault="00584864" w:rsidP="00584864">
      <w:pPr>
        <w:pStyle w:val="Doc-text2"/>
      </w:pPr>
    </w:p>
    <w:p w14:paraId="6A36C1D1"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Agreements</w:t>
      </w:r>
    </w:p>
    <w:p w14:paraId="51B671AD"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 xml:space="preserve">1: </w:t>
      </w:r>
      <w:r>
        <w:tab/>
        <w:t>The Rel.15 study item focuses on IAB with physically fixed relays. Optimization for mobile relays in future releases is not precluded</w:t>
      </w:r>
    </w:p>
    <w:p w14:paraId="5F33D243"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2</w:t>
      </w:r>
      <w:r>
        <w:tab/>
        <w:t xml:space="preserve">Common architecture supports both in-band and out-of-band IAB scenarios. </w:t>
      </w:r>
    </w:p>
    <w:p w14:paraId="62163B11"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2i</w:t>
      </w:r>
      <w:r>
        <w:tab/>
        <w:t>In-band IAB scenarios including (TDM/FDM/SDM) of access and backhaul links subject to half-duplex constraint at the IAB node are supported (This agreement does not exclude full duplex from being studied by RAN1)</w:t>
      </w:r>
    </w:p>
    <w:p w14:paraId="09E4D624"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2ii</w:t>
      </w:r>
      <w:r>
        <w:tab/>
        <w:t>Out-of-band IAB scenarios are also supported using the same set of RAN features designed for in-band scenarios.  Study whether additional RAN features are needed for out-of-band scenarios</w:t>
      </w:r>
    </w:p>
    <w:p w14:paraId="2AF7EA30"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3</w:t>
      </w:r>
      <w:r>
        <w:tab/>
        <w:t xml:space="preserve">NR access over NR backhaul is studied with highest priority </w:t>
      </w:r>
    </w:p>
    <w:p w14:paraId="03DFF561"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3i</w:t>
      </w:r>
      <w:r>
        <w:tab/>
        <w:t>Identify the additional architecture solutions required for LTE access over NR backhaul</w:t>
      </w:r>
    </w:p>
    <w:p w14:paraId="41D537B8"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3ii</w:t>
      </w:r>
      <w:r>
        <w:tab/>
        <w:t>The IAB design shall at least support the following UEs to connect to a node which is backhauled using IAB:</w:t>
      </w:r>
    </w:p>
    <w:p w14:paraId="2BC77180"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b/>
        <w:t>1/</w:t>
      </w:r>
      <w:r>
        <w:tab/>
        <w:t>Rel. 15 NR UE</w:t>
      </w:r>
    </w:p>
    <w:p w14:paraId="1D5A054F"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b/>
        <w:t>2/</w:t>
      </w:r>
      <w:r>
        <w:tab/>
        <w:t>Legacy LTE UE if IAB supports backhauling of LTE access</w:t>
      </w:r>
    </w:p>
    <w:p w14:paraId="218A57F5"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4i</w:t>
      </w:r>
      <w:r>
        <w:tab/>
        <w:t>SA and NSA on the access link will be supported (For NSA on the access the relay is applied to the NR SCG path only)</w:t>
      </w:r>
    </w:p>
    <w:p w14:paraId="535D0494"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4ii</w:t>
      </w:r>
      <w:r>
        <w:tab/>
        <w:t xml:space="preserve">Both NSA and SA for the backhaul links will be studied. (For both SA and NSA backhaul, we will not study backhaul traffic over the LTE radio interface). </w:t>
      </w:r>
    </w:p>
    <w:p w14:paraId="328592E9"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4iii</w:t>
      </w:r>
      <w:r>
        <w:tab/>
      </w:r>
      <w:proofErr w:type="gramStart"/>
      <w:r>
        <w:t>For</w:t>
      </w:r>
      <w:proofErr w:type="gramEnd"/>
      <w:r>
        <w:t xml:space="preserve"> both 4i and 4ii the priority within the NSA options will be to consider the EN-DC case but this does not preclude study for other NSA options.</w:t>
      </w:r>
    </w:p>
    <w:p w14:paraId="4961B2C3"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4iv Further study of the possible combinations of SA and NSA access and backhaul is needed to fully determine the scope of what will be studied.</w:t>
      </w:r>
    </w:p>
    <w:p w14:paraId="4413AC92" w14:textId="77777777" w:rsidR="00584864" w:rsidRDefault="00584864" w:rsidP="00584864">
      <w:pPr>
        <w:pStyle w:val="Doc-title"/>
      </w:pPr>
    </w:p>
    <w:p w14:paraId="41D02CB0" w14:textId="77777777" w:rsidR="00584864" w:rsidRDefault="00584864" w:rsidP="00584864">
      <w:pPr>
        <w:pStyle w:val="Doc-text2"/>
      </w:pPr>
    </w:p>
    <w:p w14:paraId="6A4F38FF"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Agreements</w:t>
      </w:r>
    </w:p>
    <w:p w14:paraId="7C4A7F67"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1: IAB design shall support multiple backhaul hops</w:t>
      </w:r>
    </w:p>
    <w:p w14:paraId="51067A6B"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b/>
        <w:t>-</w:t>
      </w:r>
      <w:r>
        <w:tab/>
        <w:t>The architecture should not impose limits on the number of backhaul hops.</w:t>
      </w:r>
    </w:p>
    <w:p w14:paraId="00933936"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b/>
        <w:t>-</w:t>
      </w:r>
      <w:r>
        <w:tab/>
        <w:t>The study should consider scalability to hop-count an important KPI.</w:t>
      </w:r>
    </w:p>
    <w:p w14:paraId="2B067408"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ab/>
        <w:t>-</w:t>
      </w:r>
      <w:r>
        <w:tab/>
        <w:t>Single hop is considered a special case of multiple backhaul hops.</w:t>
      </w:r>
    </w:p>
    <w:p w14:paraId="319E1F37"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2: Topology adaptation for physically fixed relays is supported to enable robust operation, e.g., mitigate blockage and load variation on backhaul links</w:t>
      </w:r>
    </w:p>
    <w:p w14:paraId="1A204AD3"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3: L2 and L3 relay architectures will be studied. Definitions of L2- and L3-relaying in the context of IAB is FFS</w:t>
      </w:r>
    </w:p>
    <w:p w14:paraId="63E34792"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4: The IAB design should minimize the impact to core network specifications</w:t>
      </w:r>
    </w:p>
    <w:p w14:paraId="213D961A"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5: The study should consider the impact to the core network signalling load as an important KPI</w:t>
      </w:r>
    </w:p>
    <w:p w14:paraId="52B42E5F" w14:textId="77777777" w:rsidR="00584864" w:rsidRDefault="00584864" w:rsidP="00584864">
      <w:pPr>
        <w:pStyle w:val="Doc-text2"/>
        <w:pBdr>
          <w:top w:val="single" w:sz="4" w:space="1" w:color="auto"/>
          <w:left w:val="single" w:sz="4" w:space="4" w:color="auto"/>
          <w:bottom w:val="single" w:sz="4" w:space="1" w:color="auto"/>
          <w:right w:val="single" w:sz="4" w:space="4" w:color="auto"/>
        </w:pBdr>
      </w:pPr>
      <w:r>
        <w:t>6: Strive to maximize reuse of Rel-15 NR specifications for the design of the backhaul link. Enhancement can also be considered.</w:t>
      </w:r>
    </w:p>
    <w:p w14:paraId="69A78FCD" w14:textId="77777777" w:rsidR="00584864" w:rsidRPr="00CE0424" w:rsidRDefault="00584864" w:rsidP="00CE0424">
      <w:pPr>
        <w:pStyle w:val="BodyText"/>
      </w:pPr>
    </w:p>
    <w:sectPr w:rsidR="00584864" w:rsidRPr="00CE0424">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F4DFC2" w14:textId="77777777" w:rsidR="003B7851" w:rsidRDefault="003B7851">
      <w:r>
        <w:separator/>
      </w:r>
    </w:p>
  </w:endnote>
  <w:endnote w:type="continuationSeparator" w:id="0">
    <w:p w14:paraId="15395400" w14:textId="77777777" w:rsidR="003B7851" w:rsidRDefault="003B7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69968" w14:textId="21F62F78" w:rsidR="004C10B1" w:rsidRDefault="004C10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E1D3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E1D3B">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7D9D1F" w14:textId="77777777" w:rsidR="003B7851" w:rsidRDefault="003B7851">
      <w:r>
        <w:separator/>
      </w:r>
    </w:p>
  </w:footnote>
  <w:footnote w:type="continuationSeparator" w:id="0">
    <w:p w14:paraId="222354EB" w14:textId="77777777" w:rsidR="003B7851" w:rsidRDefault="003B7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98B52" w14:textId="77777777" w:rsidR="004C10B1" w:rsidRDefault="004C10B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617932"/>
    <w:multiLevelType w:val="hybridMultilevel"/>
    <w:tmpl w:val="82348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FB0466"/>
    <w:multiLevelType w:val="hybridMultilevel"/>
    <w:tmpl w:val="B91C1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B27BC1"/>
    <w:multiLevelType w:val="hybridMultilevel"/>
    <w:tmpl w:val="AEAEB7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EF62A6"/>
    <w:multiLevelType w:val="hybridMultilevel"/>
    <w:tmpl w:val="6BE6F3AA"/>
    <w:lvl w:ilvl="0" w:tplc="C73258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7C797038"/>
    <w:multiLevelType w:val="hybridMultilevel"/>
    <w:tmpl w:val="C4AEBE9A"/>
    <w:lvl w:ilvl="0" w:tplc="32DA467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8"/>
  </w:num>
  <w:num w:numId="8">
    <w:abstractNumId w:val="10"/>
  </w:num>
  <w:num w:numId="9">
    <w:abstractNumId w:val="8"/>
  </w:num>
  <w:num w:numId="10">
    <w:abstractNumId w:val="3"/>
  </w:num>
  <w:num w:numId="11">
    <w:abstractNumId w:val="2"/>
  </w:num>
  <w:num w:numId="12">
    <w:abstractNumId w:val="1"/>
  </w:num>
  <w:num w:numId="13">
    <w:abstractNumId w:val="16"/>
  </w:num>
  <w:num w:numId="14">
    <w:abstractNumId w:val="0"/>
  </w:num>
  <w:num w:numId="15">
    <w:abstractNumId w:val="19"/>
  </w:num>
  <w:num w:numId="16">
    <w:abstractNumId w:val="7"/>
  </w:num>
  <w:num w:numId="17">
    <w:abstractNumId w:val="17"/>
  </w:num>
  <w:num w:numId="18">
    <w:abstractNumId w:val="20"/>
  </w:num>
  <w:num w:numId="19">
    <w:abstractNumId w:val="6"/>
  </w:num>
  <w:num w:numId="20">
    <w:abstractNumId w:val="5"/>
  </w:num>
  <w:num w:numId="21">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0368"/>
    <w:rsid w:val="000006E1"/>
    <w:rsid w:val="00002A37"/>
    <w:rsid w:val="000034D9"/>
    <w:rsid w:val="000039F4"/>
    <w:rsid w:val="00006446"/>
    <w:rsid w:val="00006896"/>
    <w:rsid w:val="00007CDC"/>
    <w:rsid w:val="00011B28"/>
    <w:rsid w:val="00013642"/>
    <w:rsid w:val="00015D15"/>
    <w:rsid w:val="00017DCE"/>
    <w:rsid w:val="0002564D"/>
    <w:rsid w:val="00025ECA"/>
    <w:rsid w:val="000325B8"/>
    <w:rsid w:val="00034C15"/>
    <w:rsid w:val="00036BA1"/>
    <w:rsid w:val="000422E2"/>
    <w:rsid w:val="00042F22"/>
    <w:rsid w:val="000444EF"/>
    <w:rsid w:val="00052A07"/>
    <w:rsid w:val="000534E3"/>
    <w:rsid w:val="0005606A"/>
    <w:rsid w:val="00057117"/>
    <w:rsid w:val="00060391"/>
    <w:rsid w:val="000616E7"/>
    <w:rsid w:val="0006487E"/>
    <w:rsid w:val="00065E1A"/>
    <w:rsid w:val="000768B9"/>
    <w:rsid w:val="00077E5F"/>
    <w:rsid w:val="0008036A"/>
    <w:rsid w:val="00081AE6"/>
    <w:rsid w:val="000855EB"/>
    <w:rsid w:val="00085B52"/>
    <w:rsid w:val="000866F2"/>
    <w:rsid w:val="0009009F"/>
    <w:rsid w:val="00091557"/>
    <w:rsid w:val="000924C1"/>
    <w:rsid w:val="000924F0"/>
    <w:rsid w:val="00093474"/>
    <w:rsid w:val="0009510F"/>
    <w:rsid w:val="000A1B7B"/>
    <w:rsid w:val="000A3AE0"/>
    <w:rsid w:val="000A56F2"/>
    <w:rsid w:val="000B2719"/>
    <w:rsid w:val="000B3A8F"/>
    <w:rsid w:val="000B4AB9"/>
    <w:rsid w:val="000B58C3"/>
    <w:rsid w:val="000B61E9"/>
    <w:rsid w:val="000C165A"/>
    <w:rsid w:val="000C2E19"/>
    <w:rsid w:val="000D0D07"/>
    <w:rsid w:val="000D4797"/>
    <w:rsid w:val="000D5ABD"/>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4EC7"/>
    <w:rsid w:val="001551B5"/>
    <w:rsid w:val="001639B5"/>
    <w:rsid w:val="001659C1"/>
    <w:rsid w:val="00173A8E"/>
    <w:rsid w:val="00177795"/>
    <w:rsid w:val="0018143F"/>
    <w:rsid w:val="00190AC1"/>
    <w:rsid w:val="0019341A"/>
    <w:rsid w:val="00197DF9"/>
    <w:rsid w:val="001A1987"/>
    <w:rsid w:val="001A2564"/>
    <w:rsid w:val="001A2825"/>
    <w:rsid w:val="001A6173"/>
    <w:rsid w:val="001A6CBA"/>
    <w:rsid w:val="001B0D97"/>
    <w:rsid w:val="001B5A5D"/>
    <w:rsid w:val="001C1CE5"/>
    <w:rsid w:val="001C3D2A"/>
    <w:rsid w:val="001C7876"/>
    <w:rsid w:val="001D51BA"/>
    <w:rsid w:val="001D56BB"/>
    <w:rsid w:val="001D6342"/>
    <w:rsid w:val="001D6D53"/>
    <w:rsid w:val="001E58E2"/>
    <w:rsid w:val="001E7AED"/>
    <w:rsid w:val="001F3916"/>
    <w:rsid w:val="001F54C5"/>
    <w:rsid w:val="001F662C"/>
    <w:rsid w:val="001F7074"/>
    <w:rsid w:val="00200490"/>
    <w:rsid w:val="00201F3A"/>
    <w:rsid w:val="00203F96"/>
    <w:rsid w:val="002069B2"/>
    <w:rsid w:val="00207FA3"/>
    <w:rsid w:val="002111AB"/>
    <w:rsid w:val="00214DA8"/>
    <w:rsid w:val="00215423"/>
    <w:rsid w:val="002158FA"/>
    <w:rsid w:val="00220600"/>
    <w:rsid w:val="002224DB"/>
    <w:rsid w:val="00223FCB"/>
    <w:rsid w:val="002252C3"/>
    <w:rsid w:val="00225C54"/>
    <w:rsid w:val="00230765"/>
    <w:rsid w:val="002319E4"/>
    <w:rsid w:val="00235632"/>
    <w:rsid w:val="00235872"/>
    <w:rsid w:val="0023595C"/>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0DD1"/>
    <w:rsid w:val="0028280A"/>
    <w:rsid w:val="00286ACD"/>
    <w:rsid w:val="00287838"/>
    <w:rsid w:val="002907B5"/>
    <w:rsid w:val="00292EB7"/>
    <w:rsid w:val="00296227"/>
    <w:rsid w:val="00296F44"/>
    <w:rsid w:val="00297260"/>
    <w:rsid w:val="0029777D"/>
    <w:rsid w:val="002A055E"/>
    <w:rsid w:val="002A1D4E"/>
    <w:rsid w:val="002A2869"/>
    <w:rsid w:val="002B24D6"/>
    <w:rsid w:val="002C41E6"/>
    <w:rsid w:val="002C5E68"/>
    <w:rsid w:val="002C6A87"/>
    <w:rsid w:val="002D071A"/>
    <w:rsid w:val="002D34B2"/>
    <w:rsid w:val="002D7637"/>
    <w:rsid w:val="002E17F2"/>
    <w:rsid w:val="002E5C05"/>
    <w:rsid w:val="002E7CAE"/>
    <w:rsid w:val="002F2771"/>
    <w:rsid w:val="002F37A9"/>
    <w:rsid w:val="00301408"/>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1F6D"/>
    <w:rsid w:val="00342BD7"/>
    <w:rsid w:val="00343A07"/>
    <w:rsid w:val="00346DB5"/>
    <w:rsid w:val="003477B1"/>
    <w:rsid w:val="0035491B"/>
    <w:rsid w:val="00357380"/>
    <w:rsid w:val="003602D9"/>
    <w:rsid w:val="003604CE"/>
    <w:rsid w:val="00370E47"/>
    <w:rsid w:val="003742AC"/>
    <w:rsid w:val="00377CE1"/>
    <w:rsid w:val="00382707"/>
    <w:rsid w:val="00385BF0"/>
    <w:rsid w:val="003870D2"/>
    <w:rsid w:val="003939FF"/>
    <w:rsid w:val="003A2223"/>
    <w:rsid w:val="003A2A0F"/>
    <w:rsid w:val="003A45A1"/>
    <w:rsid w:val="003A5B0A"/>
    <w:rsid w:val="003A6BAC"/>
    <w:rsid w:val="003A7EF3"/>
    <w:rsid w:val="003B159C"/>
    <w:rsid w:val="003B369F"/>
    <w:rsid w:val="003B36A3"/>
    <w:rsid w:val="003B460B"/>
    <w:rsid w:val="003B7851"/>
    <w:rsid w:val="003B7FE5"/>
    <w:rsid w:val="003C11C8"/>
    <w:rsid w:val="003C2702"/>
    <w:rsid w:val="003C50D4"/>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20E"/>
    <w:rsid w:val="00413AAC"/>
    <w:rsid w:val="00420368"/>
    <w:rsid w:val="00421105"/>
    <w:rsid w:val="00421CBB"/>
    <w:rsid w:val="004242F4"/>
    <w:rsid w:val="00427248"/>
    <w:rsid w:val="00437447"/>
    <w:rsid w:val="00441A92"/>
    <w:rsid w:val="00444F56"/>
    <w:rsid w:val="00446488"/>
    <w:rsid w:val="0044722E"/>
    <w:rsid w:val="004517AA"/>
    <w:rsid w:val="00452CAC"/>
    <w:rsid w:val="00457565"/>
    <w:rsid w:val="00457B71"/>
    <w:rsid w:val="0046174F"/>
    <w:rsid w:val="004669E2"/>
    <w:rsid w:val="00470C31"/>
    <w:rsid w:val="004734D0"/>
    <w:rsid w:val="0047556B"/>
    <w:rsid w:val="00477768"/>
    <w:rsid w:val="00480FE8"/>
    <w:rsid w:val="00492BC5"/>
    <w:rsid w:val="004964F1"/>
    <w:rsid w:val="004A16BC"/>
    <w:rsid w:val="004A2B94"/>
    <w:rsid w:val="004B7C0C"/>
    <w:rsid w:val="004C10B1"/>
    <w:rsid w:val="004C2DB9"/>
    <w:rsid w:val="004C3898"/>
    <w:rsid w:val="004D36B1"/>
    <w:rsid w:val="004D7EBD"/>
    <w:rsid w:val="004E2680"/>
    <w:rsid w:val="004E28F9"/>
    <w:rsid w:val="004E462E"/>
    <w:rsid w:val="004E56DC"/>
    <w:rsid w:val="004E76F4"/>
    <w:rsid w:val="004F0B4E"/>
    <w:rsid w:val="004F0B6C"/>
    <w:rsid w:val="004F2078"/>
    <w:rsid w:val="004F400E"/>
    <w:rsid w:val="004F4DA3"/>
    <w:rsid w:val="00502DF8"/>
    <w:rsid w:val="00506557"/>
    <w:rsid w:val="0050677A"/>
    <w:rsid w:val="005108D8"/>
    <w:rsid w:val="005116F9"/>
    <w:rsid w:val="005153A7"/>
    <w:rsid w:val="005219CF"/>
    <w:rsid w:val="00534B59"/>
    <w:rsid w:val="00536759"/>
    <w:rsid w:val="00537C62"/>
    <w:rsid w:val="00546970"/>
    <w:rsid w:val="005508F9"/>
    <w:rsid w:val="005509AD"/>
    <w:rsid w:val="00554E19"/>
    <w:rsid w:val="0056121F"/>
    <w:rsid w:val="0056730B"/>
    <w:rsid w:val="00572505"/>
    <w:rsid w:val="005803DE"/>
    <w:rsid w:val="00582809"/>
    <w:rsid w:val="00584864"/>
    <w:rsid w:val="0058798C"/>
    <w:rsid w:val="005900FA"/>
    <w:rsid w:val="005935A4"/>
    <w:rsid w:val="005948C2"/>
    <w:rsid w:val="00594AF9"/>
    <w:rsid w:val="00595DCA"/>
    <w:rsid w:val="00596AD1"/>
    <w:rsid w:val="005975C9"/>
    <w:rsid w:val="0059779B"/>
    <w:rsid w:val="005A209A"/>
    <w:rsid w:val="005A662D"/>
    <w:rsid w:val="005B35D7"/>
    <w:rsid w:val="005B392A"/>
    <w:rsid w:val="005B3AA3"/>
    <w:rsid w:val="005B591A"/>
    <w:rsid w:val="005B6F83"/>
    <w:rsid w:val="005C74FB"/>
    <w:rsid w:val="005D08A5"/>
    <w:rsid w:val="005D1602"/>
    <w:rsid w:val="005E385F"/>
    <w:rsid w:val="005E5B81"/>
    <w:rsid w:val="005F2CB1"/>
    <w:rsid w:val="005F3025"/>
    <w:rsid w:val="005F618C"/>
    <w:rsid w:val="005F70BD"/>
    <w:rsid w:val="006000F2"/>
    <w:rsid w:val="0060283C"/>
    <w:rsid w:val="00604F14"/>
    <w:rsid w:val="00611B83"/>
    <w:rsid w:val="00613257"/>
    <w:rsid w:val="00613481"/>
    <w:rsid w:val="00620A71"/>
    <w:rsid w:val="00620D80"/>
    <w:rsid w:val="006234A6"/>
    <w:rsid w:val="00626BEE"/>
    <w:rsid w:val="00630001"/>
    <w:rsid w:val="006311B3"/>
    <w:rsid w:val="00631CA0"/>
    <w:rsid w:val="0063284C"/>
    <w:rsid w:val="00636398"/>
    <w:rsid w:val="006368D3"/>
    <w:rsid w:val="006377EC"/>
    <w:rsid w:val="0064151F"/>
    <w:rsid w:val="00641533"/>
    <w:rsid w:val="0064208D"/>
    <w:rsid w:val="00643475"/>
    <w:rsid w:val="0064396A"/>
    <w:rsid w:val="006457FA"/>
    <w:rsid w:val="0064624E"/>
    <w:rsid w:val="00650AB9"/>
    <w:rsid w:val="00655733"/>
    <w:rsid w:val="00655ACD"/>
    <w:rsid w:val="006566EE"/>
    <w:rsid w:val="00656A92"/>
    <w:rsid w:val="00656DDE"/>
    <w:rsid w:val="0066011D"/>
    <w:rsid w:val="006607C0"/>
    <w:rsid w:val="006613A6"/>
    <w:rsid w:val="006627A2"/>
    <w:rsid w:val="006634E6"/>
    <w:rsid w:val="006655EE"/>
    <w:rsid w:val="00665EE9"/>
    <w:rsid w:val="00667EE7"/>
    <w:rsid w:val="00670922"/>
    <w:rsid w:val="00670BE1"/>
    <w:rsid w:val="00671AB9"/>
    <w:rsid w:val="00671B0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4D"/>
    <w:rsid w:val="006A7AFF"/>
    <w:rsid w:val="006B056A"/>
    <w:rsid w:val="006B1816"/>
    <w:rsid w:val="006B2099"/>
    <w:rsid w:val="006B50CF"/>
    <w:rsid w:val="006C03B8"/>
    <w:rsid w:val="006C5EC9"/>
    <w:rsid w:val="006C6059"/>
    <w:rsid w:val="006C7522"/>
    <w:rsid w:val="006D4337"/>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7B3D"/>
    <w:rsid w:val="00726EA6"/>
    <w:rsid w:val="00727208"/>
    <w:rsid w:val="00727680"/>
    <w:rsid w:val="007348B1"/>
    <w:rsid w:val="0073589B"/>
    <w:rsid w:val="007362A6"/>
    <w:rsid w:val="00736D7D"/>
    <w:rsid w:val="00740E58"/>
    <w:rsid w:val="007445A0"/>
    <w:rsid w:val="0074524B"/>
    <w:rsid w:val="00747D8B"/>
    <w:rsid w:val="0075106C"/>
    <w:rsid w:val="00751228"/>
    <w:rsid w:val="00756BAF"/>
    <w:rsid w:val="007571E1"/>
    <w:rsid w:val="007604B2"/>
    <w:rsid w:val="00765281"/>
    <w:rsid w:val="00766BAD"/>
    <w:rsid w:val="007730BD"/>
    <w:rsid w:val="007755F2"/>
    <w:rsid w:val="00776971"/>
    <w:rsid w:val="007803B0"/>
    <w:rsid w:val="0078177E"/>
    <w:rsid w:val="0078304C"/>
    <w:rsid w:val="00783673"/>
    <w:rsid w:val="00785490"/>
    <w:rsid w:val="007925EA"/>
    <w:rsid w:val="00793CD8"/>
    <w:rsid w:val="00793E6C"/>
    <w:rsid w:val="007953CB"/>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4F3D"/>
    <w:rsid w:val="00825C42"/>
    <w:rsid w:val="00825D25"/>
    <w:rsid w:val="00827D6F"/>
    <w:rsid w:val="008376AC"/>
    <w:rsid w:val="008444E8"/>
    <w:rsid w:val="00844E80"/>
    <w:rsid w:val="00846FE7"/>
    <w:rsid w:val="00850B38"/>
    <w:rsid w:val="00850EC5"/>
    <w:rsid w:val="00854F97"/>
    <w:rsid w:val="00856911"/>
    <w:rsid w:val="008677FD"/>
    <w:rsid w:val="008706D4"/>
    <w:rsid w:val="00870F8A"/>
    <w:rsid w:val="008719A4"/>
    <w:rsid w:val="00871D23"/>
    <w:rsid w:val="00873DB0"/>
    <w:rsid w:val="00874312"/>
    <w:rsid w:val="0087437C"/>
    <w:rsid w:val="00875CD7"/>
    <w:rsid w:val="00876B4D"/>
    <w:rsid w:val="00877F18"/>
    <w:rsid w:val="008943F1"/>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369"/>
    <w:rsid w:val="008C2017"/>
    <w:rsid w:val="008C27B8"/>
    <w:rsid w:val="008C4958"/>
    <w:rsid w:val="008C4BAA"/>
    <w:rsid w:val="008C5F03"/>
    <w:rsid w:val="008C6AE8"/>
    <w:rsid w:val="008C7573"/>
    <w:rsid w:val="008D34F1"/>
    <w:rsid w:val="008D39D8"/>
    <w:rsid w:val="008D6D1A"/>
    <w:rsid w:val="008E065E"/>
    <w:rsid w:val="008E0927"/>
    <w:rsid w:val="008E1542"/>
    <w:rsid w:val="008E1909"/>
    <w:rsid w:val="008F1EAB"/>
    <w:rsid w:val="008F33DC"/>
    <w:rsid w:val="008F477F"/>
    <w:rsid w:val="008F4EA2"/>
    <w:rsid w:val="008F62E6"/>
    <w:rsid w:val="00902350"/>
    <w:rsid w:val="0090336B"/>
    <w:rsid w:val="009053AA"/>
    <w:rsid w:val="00906939"/>
    <w:rsid w:val="00910B7D"/>
    <w:rsid w:val="00911DFB"/>
    <w:rsid w:val="009139D9"/>
    <w:rsid w:val="00914AD8"/>
    <w:rsid w:val="00914DB8"/>
    <w:rsid w:val="00916079"/>
    <w:rsid w:val="00917CE9"/>
    <w:rsid w:val="00920BF2"/>
    <w:rsid w:val="00922010"/>
    <w:rsid w:val="00927E4C"/>
    <w:rsid w:val="00931BD9"/>
    <w:rsid w:val="009368F3"/>
    <w:rsid w:val="0093751B"/>
    <w:rsid w:val="00941636"/>
    <w:rsid w:val="00943742"/>
    <w:rsid w:val="00945C05"/>
    <w:rsid w:val="00946945"/>
    <w:rsid w:val="00947713"/>
    <w:rsid w:val="009509A9"/>
    <w:rsid w:val="00950DE7"/>
    <w:rsid w:val="00953920"/>
    <w:rsid w:val="00953D47"/>
    <w:rsid w:val="0095681E"/>
    <w:rsid w:val="009572D4"/>
    <w:rsid w:val="00961921"/>
    <w:rsid w:val="0096430A"/>
    <w:rsid w:val="0096554B"/>
    <w:rsid w:val="0096584A"/>
    <w:rsid w:val="009658F2"/>
    <w:rsid w:val="00966786"/>
    <w:rsid w:val="00971F08"/>
    <w:rsid w:val="0097603D"/>
    <w:rsid w:val="00976949"/>
    <w:rsid w:val="00980477"/>
    <w:rsid w:val="00985253"/>
    <w:rsid w:val="009853B3"/>
    <w:rsid w:val="00990630"/>
    <w:rsid w:val="00991761"/>
    <w:rsid w:val="00994DCA"/>
    <w:rsid w:val="009960EC"/>
    <w:rsid w:val="009970DD"/>
    <w:rsid w:val="009A0FBA"/>
    <w:rsid w:val="009A1601"/>
    <w:rsid w:val="009A1BA3"/>
    <w:rsid w:val="009A462D"/>
    <w:rsid w:val="009A5CBA"/>
    <w:rsid w:val="009B1F30"/>
    <w:rsid w:val="009B3AC2"/>
    <w:rsid w:val="009B4DF4"/>
    <w:rsid w:val="009B564E"/>
    <w:rsid w:val="009B7E87"/>
    <w:rsid w:val="009C403E"/>
    <w:rsid w:val="009D4FF0"/>
    <w:rsid w:val="009D703C"/>
    <w:rsid w:val="009D718F"/>
    <w:rsid w:val="009E00A9"/>
    <w:rsid w:val="009E068F"/>
    <w:rsid w:val="009E09F5"/>
    <w:rsid w:val="009E14E0"/>
    <w:rsid w:val="009E3487"/>
    <w:rsid w:val="009E35DB"/>
    <w:rsid w:val="009E47A3"/>
    <w:rsid w:val="009F08F3"/>
    <w:rsid w:val="009F306A"/>
    <w:rsid w:val="009F344F"/>
    <w:rsid w:val="009F44AD"/>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29F"/>
    <w:rsid w:val="00A71B99"/>
    <w:rsid w:val="00A739D0"/>
    <w:rsid w:val="00A761D4"/>
    <w:rsid w:val="00A77EC4"/>
    <w:rsid w:val="00A92879"/>
    <w:rsid w:val="00A9442A"/>
    <w:rsid w:val="00AA016F"/>
    <w:rsid w:val="00AA1ED6"/>
    <w:rsid w:val="00AA51D6"/>
    <w:rsid w:val="00AB0BC8"/>
    <w:rsid w:val="00AB11CA"/>
    <w:rsid w:val="00AB14D9"/>
    <w:rsid w:val="00AB3F50"/>
    <w:rsid w:val="00AB4AB8"/>
    <w:rsid w:val="00AB655E"/>
    <w:rsid w:val="00AC007F"/>
    <w:rsid w:val="00AC2ECD"/>
    <w:rsid w:val="00AC3119"/>
    <w:rsid w:val="00AC49FB"/>
    <w:rsid w:val="00AC5A10"/>
    <w:rsid w:val="00AD0AA3"/>
    <w:rsid w:val="00AD3F94"/>
    <w:rsid w:val="00AD4A5A"/>
    <w:rsid w:val="00AE1366"/>
    <w:rsid w:val="00AE27AC"/>
    <w:rsid w:val="00AE3743"/>
    <w:rsid w:val="00AE40E0"/>
    <w:rsid w:val="00AE4DBA"/>
    <w:rsid w:val="00AE4F07"/>
    <w:rsid w:val="00AF1C5D"/>
    <w:rsid w:val="00AF247C"/>
    <w:rsid w:val="00AF42D7"/>
    <w:rsid w:val="00AF7F08"/>
    <w:rsid w:val="00B006FE"/>
    <w:rsid w:val="00B007CB"/>
    <w:rsid w:val="00B02AA9"/>
    <w:rsid w:val="00B02FA3"/>
    <w:rsid w:val="00B05084"/>
    <w:rsid w:val="00B157F9"/>
    <w:rsid w:val="00B1695B"/>
    <w:rsid w:val="00B16FF4"/>
    <w:rsid w:val="00B17F93"/>
    <w:rsid w:val="00B20256"/>
    <w:rsid w:val="00B20321"/>
    <w:rsid w:val="00B20D09"/>
    <w:rsid w:val="00B22D34"/>
    <w:rsid w:val="00B2763F"/>
    <w:rsid w:val="00B27AAC"/>
    <w:rsid w:val="00B30929"/>
    <w:rsid w:val="00B372AA"/>
    <w:rsid w:val="00B40445"/>
    <w:rsid w:val="00B41888"/>
    <w:rsid w:val="00B45A52"/>
    <w:rsid w:val="00B46175"/>
    <w:rsid w:val="00B53999"/>
    <w:rsid w:val="00B60C2D"/>
    <w:rsid w:val="00B6188F"/>
    <w:rsid w:val="00B664C7"/>
    <w:rsid w:val="00B739F6"/>
    <w:rsid w:val="00B7644F"/>
    <w:rsid w:val="00B81A6C"/>
    <w:rsid w:val="00B85DE5"/>
    <w:rsid w:val="00B90F73"/>
    <w:rsid w:val="00B93B59"/>
    <w:rsid w:val="00B9406A"/>
    <w:rsid w:val="00BA2280"/>
    <w:rsid w:val="00BA2A08"/>
    <w:rsid w:val="00BA56D2"/>
    <w:rsid w:val="00BA76E0"/>
    <w:rsid w:val="00BB1C94"/>
    <w:rsid w:val="00BB2A25"/>
    <w:rsid w:val="00BB51E9"/>
    <w:rsid w:val="00BC0FDC"/>
    <w:rsid w:val="00BC3053"/>
    <w:rsid w:val="00BC4D2E"/>
    <w:rsid w:val="00BD48AC"/>
    <w:rsid w:val="00BD5F1A"/>
    <w:rsid w:val="00BE1234"/>
    <w:rsid w:val="00BE2405"/>
    <w:rsid w:val="00BE2FA6"/>
    <w:rsid w:val="00BE333F"/>
    <w:rsid w:val="00BE6191"/>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4E7D"/>
    <w:rsid w:val="00C3719D"/>
    <w:rsid w:val="00C432CC"/>
    <w:rsid w:val="00C51C31"/>
    <w:rsid w:val="00C54995"/>
    <w:rsid w:val="00C54D41"/>
    <w:rsid w:val="00C60783"/>
    <w:rsid w:val="00C63B99"/>
    <w:rsid w:val="00C64672"/>
    <w:rsid w:val="00C70697"/>
    <w:rsid w:val="00C72EF4"/>
    <w:rsid w:val="00C75D2F"/>
    <w:rsid w:val="00C767BE"/>
    <w:rsid w:val="00C76E3C"/>
    <w:rsid w:val="00C81568"/>
    <w:rsid w:val="00C87498"/>
    <w:rsid w:val="00C9027A"/>
    <w:rsid w:val="00C9068E"/>
    <w:rsid w:val="00C93C4B"/>
    <w:rsid w:val="00C944AB"/>
    <w:rsid w:val="00C95B40"/>
    <w:rsid w:val="00CA1ED8"/>
    <w:rsid w:val="00CB1F63"/>
    <w:rsid w:val="00CB4865"/>
    <w:rsid w:val="00CB7170"/>
    <w:rsid w:val="00CC040E"/>
    <w:rsid w:val="00CC111F"/>
    <w:rsid w:val="00CC2011"/>
    <w:rsid w:val="00CC2AF0"/>
    <w:rsid w:val="00CC3EA0"/>
    <w:rsid w:val="00CC7B45"/>
    <w:rsid w:val="00CD1188"/>
    <w:rsid w:val="00CD2ED1"/>
    <w:rsid w:val="00CD337B"/>
    <w:rsid w:val="00CE0424"/>
    <w:rsid w:val="00CE7561"/>
    <w:rsid w:val="00CF1354"/>
    <w:rsid w:val="00CF17C8"/>
    <w:rsid w:val="00CF237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A9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5D01"/>
    <w:rsid w:val="00D86CA3"/>
    <w:rsid w:val="00D871CE"/>
    <w:rsid w:val="00D87E3D"/>
    <w:rsid w:val="00D9196D"/>
    <w:rsid w:val="00D92982"/>
    <w:rsid w:val="00DA305E"/>
    <w:rsid w:val="00DA5417"/>
    <w:rsid w:val="00DA56E8"/>
    <w:rsid w:val="00DB0A9F"/>
    <w:rsid w:val="00DB377D"/>
    <w:rsid w:val="00DC2D36"/>
    <w:rsid w:val="00DC53EF"/>
    <w:rsid w:val="00DD25A0"/>
    <w:rsid w:val="00DE1D3B"/>
    <w:rsid w:val="00DE23B3"/>
    <w:rsid w:val="00DE3076"/>
    <w:rsid w:val="00DE5608"/>
    <w:rsid w:val="00DE58D0"/>
    <w:rsid w:val="00DE654F"/>
    <w:rsid w:val="00DF0B6E"/>
    <w:rsid w:val="00DF15E0"/>
    <w:rsid w:val="00DF37A0"/>
    <w:rsid w:val="00E0774D"/>
    <w:rsid w:val="00E10C76"/>
    <w:rsid w:val="00E110E7"/>
    <w:rsid w:val="00E118FD"/>
    <w:rsid w:val="00E11B20"/>
    <w:rsid w:val="00E17FA2"/>
    <w:rsid w:val="00E22330"/>
    <w:rsid w:val="00E2424E"/>
    <w:rsid w:val="00E30B5A"/>
    <w:rsid w:val="00E3123D"/>
    <w:rsid w:val="00E31461"/>
    <w:rsid w:val="00E31D43"/>
    <w:rsid w:val="00E32608"/>
    <w:rsid w:val="00E34188"/>
    <w:rsid w:val="00E34B6E"/>
    <w:rsid w:val="00E35559"/>
    <w:rsid w:val="00E3723A"/>
    <w:rsid w:val="00E37860"/>
    <w:rsid w:val="00E431B2"/>
    <w:rsid w:val="00E43549"/>
    <w:rsid w:val="00E446F1"/>
    <w:rsid w:val="00E46886"/>
    <w:rsid w:val="00E47AEF"/>
    <w:rsid w:val="00E51D4C"/>
    <w:rsid w:val="00E53B75"/>
    <w:rsid w:val="00E54E3B"/>
    <w:rsid w:val="00E57565"/>
    <w:rsid w:val="00E63838"/>
    <w:rsid w:val="00E64434"/>
    <w:rsid w:val="00E67C51"/>
    <w:rsid w:val="00E719D6"/>
    <w:rsid w:val="00E72EFC"/>
    <w:rsid w:val="00E758EC"/>
    <w:rsid w:val="00E8234C"/>
    <w:rsid w:val="00E83AA9"/>
    <w:rsid w:val="00E84600"/>
    <w:rsid w:val="00E85928"/>
    <w:rsid w:val="00E87822"/>
    <w:rsid w:val="00E90395"/>
    <w:rsid w:val="00E90E49"/>
    <w:rsid w:val="00E917F9"/>
    <w:rsid w:val="00E9291C"/>
    <w:rsid w:val="00E93FFE"/>
    <w:rsid w:val="00E94F8A"/>
    <w:rsid w:val="00EA0F21"/>
    <w:rsid w:val="00EA7A41"/>
    <w:rsid w:val="00EB077B"/>
    <w:rsid w:val="00EB4EA2"/>
    <w:rsid w:val="00EC27C6"/>
    <w:rsid w:val="00EC4207"/>
    <w:rsid w:val="00EC5653"/>
    <w:rsid w:val="00EC71CE"/>
    <w:rsid w:val="00ED1006"/>
    <w:rsid w:val="00ED7156"/>
    <w:rsid w:val="00ED7D98"/>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987"/>
    <w:rsid w:val="00F40F0C"/>
    <w:rsid w:val="00F4766C"/>
    <w:rsid w:val="00F4799F"/>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41F"/>
    <w:rsid w:val="00F97838"/>
    <w:rsid w:val="00FA2BB3"/>
    <w:rsid w:val="00FB0E57"/>
    <w:rsid w:val="00FB4C80"/>
    <w:rsid w:val="00FB5EC9"/>
    <w:rsid w:val="00FB6A6A"/>
    <w:rsid w:val="00FC7429"/>
    <w:rsid w:val="00FD07F6"/>
    <w:rsid w:val="00FD1EC8"/>
    <w:rsid w:val="00FD47ED"/>
    <w:rsid w:val="00FD74DB"/>
    <w:rsid w:val="00FD7660"/>
    <w:rsid w:val="00FE0655"/>
    <w:rsid w:val="00FE2365"/>
    <w:rsid w:val="00FE4160"/>
    <w:rsid w:val="00FE4C7B"/>
    <w:rsid w:val="00FE7336"/>
    <w:rsid w:val="00FE787C"/>
    <w:rsid w:val="00FF22D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4A57D"/>
  <w15:chartTrackingRefBased/>
  <w15:docId w15:val="{83EF2F57-0383-4431-9F87-710174AA3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00F2"/>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6000F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6000F2"/>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6000F2"/>
    <w:pPr>
      <w:numPr>
        <w:ilvl w:val="2"/>
      </w:numPr>
      <w:spacing w:before="120"/>
      <w:outlineLvl w:val="2"/>
    </w:pPr>
    <w:rPr>
      <w:sz w:val="28"/>
      <w:szCs w:val="28"/>
    </w:rPr>
  </w:style>
  <w:style w:type="paragraph" w:styleId="Heading4">
    <w:name w:val="heading 4"/>
    <w:basedOn w:val="Heading3"/>
    <w:next w:val="Normal"/>
    <w:qFormat/>
    <w:rsid w:val="006000F2"/>
    <w:pPr>
      <w:numPr>
        <w:ilvl w:val="3"/>
      </w:numPr>
      <w:outlineLvl w:val="3"/>
    </w:pPr>
    <w:rPr>
      <w:sz w:val="24"/>
      <w:szCs w:val="24"/>
    </w:rPr>
  </w:style>
  <w:style w:type="paragraph" w:styleId="Heading5">
    <w:name w:val="heading 5"/>
    <w:basedOn w:val="Heading4"/>
    <w:next w:val="Normal"/>
    <w:qFormat/>
    <w:rsid w:val="006000F2"/>
    <w:pPr>
      <w:numPr>
        <w:ilvl w:val="4"/>
      </w:numPr>
      <w:outlineLvl w:val="4"/>
    </w:pPr>
    <w:rPr>
      <w:sz w:val="22"/>
      <w:szCs w:val="22"/>
    </w:rPr>
  </w:style>
  <w:style w:type="paragraph" w:styleId="Heading6">
    <w:name w:val="heading 6"/>
    <w:basedOn w:val="Normal"/>
    <w:next w:val="Normal"/>
    <w:qFormat/>
    <w:rsid w:val="006000F2"/>
    <w:pPr>
      <w:keepNext/>
      <w:keepLines/>
      <w:numPr>
        <w:ilvl w:val="5"/>
        <w:numId w:val="1"/>
      </w:numPr>
      <w:spacing w:before="120"/>
      <w:outlineLvl w:val="5"/>
    </w:pPr>
    <w:rPr>
      <w:rFonts w:cs="Arial"/>
    </w:rPr>
  </w:style>
  <w:style w:type="paragraph" w:styleId="Heading7">
    <w:name w:val="heading 7"/>
    <w:basedOn w:val="Normal"/>
    <w:next w:val="Normal"/>
    <w:qFormat/>
    <w:rsid w:val="006000F2"/>
    <w:pPr>
      <w:keepNext/>
      <w:keepLines/>
      <w:numPr>
        <w:ilvl w:val="6"/>
        <w:numId w:val="1"/>
      </w:numPr>
      <w:spacing w:before="120"/>
      <w:outlineLvl w:val="6"/>
    </w:pPr>
    <w:rPr>
      <w:rFonts w:cs="Arial"/>
    </w:rPr>
  </w:style>
  <w:style w:type="paragraph" w:styleId="Heading8">
    <w:name w:val="heading 8"/>
    <w:basedOn w:val="Heading7"/>
    <w:next w:val="Normal"/>
    <w:qFormat/>
    <w:rsid w:val="006000F2"/>
    <w:pPr>
      <w:numPr>
        <w:ilvl w:val="7"/>
      </w:numPr>
      <w:outlineLvl w:val="7"/>
    </w:pPr>
  </w:style>
  <w:style w:type="paragraph" w:styleId="Heading9">
    <w:name w:val="heading 9"/>
    <w:basedOn w:val="Heading8"/>
    <w:next w:val="Normal"/>
    <w:qFormat/>
    <w:rsid w:val="006000F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000F2"/>
    <w:pPr>
      <w:spacing w:before="180"/>
      <w:ind w:left="2693" w:hanging="2693"/>
    </w:pPr>
    <w:rPr>
      <w:b w:val="0"/>
      <w:bCs/>
    </w:rPr>
  </w:style>
  <w:style w:type="paragraph" w:styleId="TOC1">
    <w:name w:val="toc 1"/>
    <w:aliases w:val="Observation TOC2"/>
    <w:uiPriority w:val="39"/>
    <w:rsid w:val="006000F2"/>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6000F2"/>
    <w:pPr>
      <w:keepNext/>
      <w:keepLines/>
      <w:spacing w:before="180"/>
      <w:jc w:val="center"/>
    </w:pPr>
  </w:style>
  <w:style w:type="paragraph" w:styleId="Caption">
    <w:name w:val="caption"/>
    <w:basedOn w:val="Normal"/>
    <w:next w:val="Normal"/>
    <w:qFormat/>
    <w:rsid w:val="006000F2"/>
    <w:pPr>
      <w:spacing w:after="240"/>
      <w:jc w:val="center"/>
    </w:pPr>
    <w:rPr>
      <w:b/>
      <w:bCs/>
    </w:rPr>
  </w:style>
  <w:style w:type="paragraph" w:styleId="TOC5">
    <w:name w:val="toc 5"/>
    <w:aliases w:val="Observation TOC"/>
    <w:basedOn w:val="TOC4"/>
    <w:semiHidden/>
    <w:rsid w:val="006000F2"/>
    <w:pPr>
      <w:tabs>
        <w:tab w:val="right" w:pos="1701"/>
      </w:tabs>
      <w:ind w:left="1701" w:hanging="1701"/>
    </w:pPr>
  </w:style>
  <w:style w:type="paragraph" w:styleId="TOC4">
    <w:name w:val="toc 4"/>
    <w:basedOn w:val="TOC3"/>
    <w:semiHidden/>
    <w:rsid w:val="006000F2"/>
    <w:pPr>
      <w:ind w:left="1418" w:hanging="1418"/>
    </w:pPr>
  </w:style>
  <w:style w:type="paragraph" w:styleId="TOC3">
    <w:name w:val="toc 3"/>
    <w:basedOn w:val="TOC2"/>
    <w:semiHidden/>
    <w:rsid w:val="006000F2"/>
    <w:pPr>
      <w:ind w:left="1134" w:hanging="1134"/>
    </w:pPr>
  </w:style>
  <w:style w:type="paragraph" w:styleId="TOC2">
    <w:name w:val="toc 2"/>
    <w:basedOn w:val="TOC1"/>
    <w:semiHidden/>
    <w:rsid w:val="006000F2"/>
    <w:pPr>
      <w:keepNext w:val="0"/>
      <w:spacing w:before="0"/>
      <w:ind w:left="851" w:hanging="851"/>
    </w:pPr>
    <w:rPr>
      <w:szCs w:val="20"/>
    </w:rPr>
  </w:style>
  <w:style w:type="paragraph" w:styleId="Index2">
    <w:name w:val="index 2"/>
    <w:basedOn w:val="Index1"/>
    <w:semiHidden/>
    <w:rsid w:val="006000F2"/>
    <w:pPr>
      <w:ind w:left="284"/>
    </w:pPr>
  </w:style>
  <w:style w:type="paragraph" w:styleId="Index1">
    <w:name w:val="index 1"/>
    <w:basedOn w:val="Normal"/>
    <w:semiHidden/>
    <w:rsid w:val="006000F2"/>
    <w:pPr>
      <w:keepLines/>
      <w:spacing w:after="0"/>
    </w:pPr>
  </w:style>
  <w:style w:type="paragraph" w:styleId="DocumentMap">
    <w:name w:val="Document Map"/>
    <w:basedOn w:val="Normal"/>
    <w:semiHidden/>
    <w:rsid w:val="006000F2"/>
    <w:pPr>
      <w:shd w:val="clear" w:color="auto" w:fill="000080"/>
    </w:pPr>
    <w:rPr>
      <w:rFonts w:ascii="Tahoma" w:hAnsi="Tahoma" w:cs="Tahoma"/>
    </w:rPr>
  </w:style>
  <w:style w:type="paragraph" w:styleId="ListNumber2">
    <w:name w:val="List Number 2"/>
    <w:basedOn w:val="ListNumber"/>
    <w:rsid w:val="006000F2"/>
    <w:pPr>
      <w:ind w:left="851"/>
    </w:pPr>
  </w:style>
  <w:style w:type="paragraph" w:styleId="ListNumber">
    <w:name w:val="List Number"/>
    <w:basedOn w:val="List"/>
    <w:rsid w:val="006000F2"/>
  </w:style>
  <w:style w:type="paragraph" w:styleId="List">
    <w:name w:val="List"/>
    <w:basedOn w:val="Normal"/>
    <w:rsid w:val="006000F2"/>
    <w:pPr>
      <w:ind w:left="568" w:hanging="284"/>
    </w:pPr>
  </w:style>
  <w:style w:type="paragraph" w:styleId="Header">
    <w:name w:val="header"/>
    <w:rsid w:val="006000F2"/>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6000F2"/>
    <w:rPr>
      <w:b/>
      <w:bCs/>
      <w:position w:val="6"/>
      <w:sz w:val="16"/>
      <w:szCs w:val="16"/>
    </w:rPr>
  </w:style>
  <w:style w:type="paragraph" w:styleId="FootnoteText">
    <w:name w:val="footnote text"/>
    <w:basedOn w:val="Normal"/>
    <w:semiHidden/>
    <w:rsid w:val="006000F2"/>
    <w:pPr>
      <w:keepLines/>
      <w:spacing w:after="0"/>
      <w:ind w:left="454" w:hanging="454"/>
    </w:pPr>
    <w:rPr>
      <w:sz w:val="16"/>
      <w:szCs w:val="16"/>
    </w:rPr>
  </w:style>
  <w:style w:type="paragraph" w:customStyle="1" w:styleId="3GPPHeader">
    <w:name w:val="3GPP_Header"/>
    <w:basedOn w:val="Normal"/>
    <w:rsid w:val="006000F2"/>
    <w:pPr>
      <w:tabs>
        <w:tab w:val="left" w:pos="1701"/>
        <w:tab w:val="right" w:pos="9639"/>
      </w:tabs>
      <w:spacing w:after="240"/>
    </w:pPr>
    <w:rPr>
      <w:b/>
      <w:sz w:val="24"/>
    </w:rPr>
  </w:style>
  <w:style w:type="paragraph" w:styleId="TOC9">
    <w:name w:val="toc 9"/>
    <w:basedOn w:val="TOC8"/>
    <w:semiHidden/>
    <w:rsid w:val="006000F2"/>
    <w:pPr>
      <w:ind w:left="1418" w:hanging="1418"/>
    </w:pPr>
  </w:style>
  <w:style w:type="paragraph" w:styleId="TOC6">
    <w:name w:val="toc 6"/>
    <w:basedOn w:val="TOC5"/>
    <w:next w:val="Normal"/>
    <w:semiHidden/>
    <w:rsid w:val="006000F2"/>
    <w:pPr>
      <w:ind w:left="1985" w:hanging="1985"/>
    </w:pPr>
  </w:style>
  <w:style w:type="paragraph" w:styleId="TOC7">
    <w:name w:val="toc 7"/>
    <w:basedOn w:val="TOC6"/>
    <w:next w:val="Normal"/>
    <w:semiHidden/>
    <w:rsid w:val="006000F2"/>
    <w:pPr>
      <w:ind w:left="2268" w:hanging="2268"/>
    </w:pPr>
  </w:style>
  <w:style w:type="paragraph" w:styleId="ListBullet2">
    <w:name w:val="List Bullet 2"/>
    <w:basedOn w:val="ListBullet"/>
    <w:rsid w:val="006000F2"/>
    <w:pPr>
      <w:numPr>
        <w:numId w:val="6"/>
      </w:numPr>
    </w:pPr>
  </w:style>
  <w:style w:type="paragraph" w:styleId="ListBullet">
    <w:name w:val="List Bullet"/>
    <w:basedOn w:val="BodyText"/>
    <w:rsid w:val="006000F2"/>
    <w:pPr>
      <w:numPr>
        <w:numId w:val="5"/>
      </w:numPr>
    </w:pPr>
  </w:style>
  <w:style w:type="paragraph" w:styleId="ListBullet3">
    <w:name w:val="List Bullet 3"/>
    <w:basedOn w:val="ListBullet2"/>
    <w:rsid w:val="006000F2"/>
    <w:pPr>
      <w:numPr>
        <w:numId w:val="7"/>
      </w:numPr>
    </w:pPr>
  </w:style>
  <w:style w:type="paragraph" w:customStyle="1" w:styleId="EQ">
    <w:name w:val="EQ"/>
    <w:basedOn w:val="Normal"/>
    <w:next w:val="Normal"/>
    <w:rsid w:val="006000F2"/>
    <w:pPr>
      <w:keepLines/>
      <w:tabs>
        <w:tab w:val="center" w:pos="4536"/>
        <w:tab w:val="right" w:pos="9072"/>
      </w:tabs>
      <w:spacing w:after="180"/>
      <w:jc w:val="left"/>
    </w:pPr>
    <w:rPr>
      <w:noProof/>
      <w:lang w:eastAsia="en-US"/>
    </w:rPr>
  </w:style>
  <w:style w:type="paragraph" w:styleId="List2">
    <w:name w:val="List 2"/>
    <w:basedOn w:val="List"/>
    <w:rsid w:val="006000F2"/>
    <w:pPr>
      <w:ind w:left="851"/>
    </w:pPr>
  </w:style>
  <w:style w:type="paragraph" w:styleId="List3">
    <w:name w:val="List 3"/>
    <w:basedOn w:val="List2"/>
    <w:rsid w:val="006000F2"/>
    <w:pPr>
      <w:ind w:left="1135"/>
    </w:pPr>
  </w:style>
  <w:style w:type="paragraph" w:styleId="List4">
    <w:name w:val="List 4"/>
    <w:basedOn w:val="List3"/>
    <w:rsid w:val="006000F2"/>
    <w:pPr>
      <w:ind w:left="1418"/>
    </w:pPr>
  </w:style>
  <w:style w:type="paragraph" w:styleId="List5">
    <w:name w:val="List 5"/>
    <w:basedOn w:val="List4"/>
    <w:rsid w:val="006000F2"/>
    <w:pPr>
      <w:ind w:left="1702"/>
    </w:pPr>
  </w:style>
  <w:style w:type="paragraph" w:customStyle="1" w:styleId="EditorsNote">
    <w:name w:val="Editor's Note"/>
    <w:basedOn w:val="Normal"/>
    <w:rsid w:val="006000F2"/>
    <w:pPr>
      <w:keepLines/>
      <w:spacing w:after="180"/>
      <w:ind w:left="1135" w:hanging="851"/>
      <w:jc w:val="left"/>
    </w:pPr>
    <w:rPr>
      <w:color w:val="FF0000"/>
      <w:lang w:eastAsia="en-US"/>
    </w:rPr>
  </w:style>
  <w:style w:type="paragraph" w:styleId="ListBullet4">
    <w:name w:val="List Bullet 4"/>
    <w:basedOn w:val="ListBullet3"/>
    <w:rsid w:val="006000F2"/>
    <w:pPr>
      <w:numPr>
        <w:numId w:val="8"/>
      </w:numPr>
    </w:pPr>
  </w:style>
  <w:style w:type="paragraph" w:styleId="ListBullet5">
    <w:name w:val="List Bullet 5"/>
    <w:basedOn w:val="ListBullet4"/>
    <w:rsid w:val="006000F2"/>
    <w:pPr>
      <w:numPr>
        <w:numId w:val="4"/>
      </w:numPr>
    </w:pPr>
  </w:style>
  <w:style w:type="paragraph" w:styleId="Footer">
    <w:name w:val="footer"/>
    <w:basedOn w:val="Header"/>
    <w:semiHidden/>
    <w:rsid w:val="006000F2"/>
    <w:pPr>
      <w:jc w:val="center"/>
    </w:pPr>
    <w:rPr>
      <w:i/>
      <w:iCs/>
    </w:rPr>
  </w:style>
  <w:style w:type="paragraph" w:customStyle="1" w:styleId="Reference">
    <w:name w:val="Reference"/>
    <w:basedOn w:val="Normal"/>
    <w:rsid w:val="006000F2"/>
    <w:pPr>
      <w:numPr>
        <w:numId w:val="2"/>
      </w:numPr>
    </w:pPr>
  </w:style>
  <w:style w:type="paragraph" w:styleId="BalloonText">
    <w:name w:val="Balloon Text"/>
    <w:basedOn w:val="Normal"/>
    <w:semiHidden/>
    <w:rsid w:val="006000F2"/>
    <w:rPr>
      <w:rFonts w:ascii="Tahoma" w:hAnsi="Tahoma" w:cs="Tahoma"/>
      <w:sz w:val="16"/>
      <w:szCs w:val="16"/>
    </w:rPr>
  </w:style>
  <w:style w:type="character" w:styleId="PageNumber">
    <w:name w:val="page number"/>
    <w:basedOn w:val="DefaultParagraphFont"/>
    <w:semiHidden/>
    <w:rsid w:val="006000F2"/>
  </w:style>
  <w:style w:type="paragraph" w:styleId="BodyText">
    <w:name w:val="Body Text"/>
    <w:basedOn w:val="Normal"/>
    <w:link w:val="BodyTextChar"/>
    <w:rsid w:val="006000F2"/>
  </w:style>
  <w:style w:type="character" w:styleId="Hyperlink">
    <w:name w:val="Hyperlink"/>
    <w:uiPriority w:val="99"/>
    <w:rsid w:val="006000F2"/>
    <w:rPr>
      <w:color w:val="0000FF"/>
      <w:u w:val="single"/>
      <w:lang w:val="en-GB"/>
    </w:rPr>
  </w:style>
  <w:style w:type="character" w:styleId="FollowedHyperlink">
    <w:name w:val="FollowedHyperlink"/>
    <w:semiHidden/>
    <w:rsid w:val="006000F2"/>
    <w:rPr>
      <w:color w:val="FF0000"/>
      <w:u w:val="single"/>
    </w:rPr>
  </w:style>
  <w:style w:type="character" w:styleId="CommentReference">
    <w:name w:val="annotation reference"/>
    <w:semiHidden/>
    <w:rsid w:val="006000F2"/>
    <w:rPr>
      <w:sz w:val="16"/>
      <w:szCs w:val="16"/>
    </w:rPr>
  </w:style>
  <w:style w:type="paragraph" w:styleId="CommentText">
    <w:name w:val="annotation text"/>
    <w:basedOn w:val="Normal"/>
    <w:semiHidden/>
    <w:rsid w:val="006000F2"/>
  </w:style>
  <w:style w:type="paragraph" w:styleId="CommentSubject">
    <w:name w:val="annotation subject"/>
    <w:basedOn w:val="CommentText"/>
    <w:next w:val="CommentText"/>
    <w:semiHidden/>
    <w:rsid w:val="006000F2"/>
    <w:rPr>
      <w:b/>
      <w:bCs/>
    </w:rPr>
  </w:style>
  <w:style w:type="character" w:customStyle="1" w:styleId="Heading1Char">
    <w:name w:val="Heading 1 Char"/>
    <w:link w:val="Heading1"/>
    <w:rsid w:val="006000F2"/>
    <w:rPr>
      <w:rFonts w:ascii="Arial" w:hAnsi="Arial" w:cs="Arial"/>
      <w:sz w:val="36"/>
      <w:szCs w:val="36"/>
      <w:lang w:val="en-GB" w:eastAsia="zh-CN"/>
    </w:rPr>
  </w:style>
  <w:style w:type="paragraph" w:customStyle="1" w:styleId="B1">
    <w:name w:val="B1"/>
    <w:basedOn w:val="List"/>
    <w:rsid w:val="006000F2"/>
    <w:pPr>
      <w:spacing w:after="180"/>
      <w:jc w:val="left"/>
    </w:pPr>
    <w:rPr>
      <w:lang w:eastAsia="en-US"/>
    </w:rPr>
  </w:style>
  <w:style w:type="paragraph" w:customStyle="1" w:styleId="B2">
    <w:name w:val="B2"/>
    <w:basedOn w:val="List2"/>
    <w:rsid w:val="006000F2"/>
    <w:pPr>
      <w:spacing w:after="180"/>
      <w:jc w:val="left"/>
    </w:pPr>
    <w:rPr>
      <w:lang w:eastAsia="en-US"/>
    </w:rPr>
  </w:style>
  <w:style w:type="paragraph" w:customStyle="1" w:styleId="B3">
    <w:name w:val="B3"/>
    <w:basedOn w:val="List3"/>
    <w:rsid w:val="006000F2"/>
    <w:pPr>
      <w:spacing w:after="180"/>
      <w:jc w:val="left"/>
    </w:pPr>
    <w:rPr>
      <w:lang w:eastAsia="en-US"/>
    </w:rPr>
  </w:style>
  <w:style w:type="paragraph" w:customStyle="1" w:styleId="B4">
    <w:name w:val="B4"/>
    <w:basedOn w:val="List4"/>
    <w:rsid w:val="006000F2"/>
    <w:pPr>
      <w:spacing w:after="180"/>
      <w:jc w:val="left"/>
    </w:pPr>
    <w:rPr>
      <w:lang w:eastAsia="en-US"/>
    </w:rPr>
  </w:style>
  <w:style w:type="paragraph" w:customStyle="1" w:styleId="Proposal">
    <w:name w:val="Proposal"/>
    <w:basedOn w:val="Normal"/>
    <w:rsid w:val="006000F2"/>
    <w:pPr>
      <w:numPr>
        <w:numId w:val="3"/>
      </w:numPr>
      <w:tabs>
        <w:tab w:val="clear" w:pos="1304"/>
        <w:tab w:val="left" w:pos="1701"/>
      </w:tabs>
      <w:ind w:left="1701" w:hanging="1701"/>
    </w:pPr>
    <w:rPr>
      <w:b/>
      <w:bCs/>
    </w:rPr>
  </w:style>
  <w:style w:type="character" w:customStyle="1" w:styleId="BodyTextChar">
    <w:name w:val="Body Text Char"/>
    <w:link w:val="BodyText"/>
    <w:rsid w:val="006000F2"/>
    <w:rPr>
      <w:rFonts w:ascii="Arial" w:hAnsi="Arial"/>
      <w:lang w:val="en-GB" w:eastAsia="zh-CN"/>
    </w:rPr>
  </w:style>
  <w:style w:type="paragraph" w:customStyle="1" w:styleId="B5">
    <w:name w:val="B5"/>
    <w:basedOn w:val="List5"/>
    <w:rsid w:val="006000F2"/>
    <w:pPr>
      <w:spacing w:after="180"/>
      <w:jc w:val="left"/>
    </w:pPr>
    <w:rPr>
      <w:lang w:eastAsia="en-US"/>
    </w:rPr>
  </w:style>
  <w:style w:type="paragraph" w:customStyle="1" w:styleId="EX">
    <w:name w:val="EX"/>
    <w:basedOn w:val="Normal"/>
    <w:rsid w:val="006000F2"/>
    <w:pPr>
      <w:keepLines/>
      <w:spacing w:after="180"/>
      <w:ind w:left="1702" w:hanging="1418"/>
      <w:jc w:val="left"/>
    </w:pPr>
    <w:rPr>
      <w:lang w:eastAsia="en-US"/>
    </w:rPr>
  </w:style>
  <w:style w:type="paragraph" w:customStyle="1" w:styleId="EW">
    <w:name w:val="EW"/>
    <w:basedOn w:val="EX"/>
    <w:rsid w:val="006000F2"/>
    <w:pPr>
      <w:spacing w:after="0"/>
    </w:pPr>
  </w:style>
  <w:style w:type="paragraph" w:customStyle="1" w:styleId="TAL">
    <w:name w:val="TAL"/>
    <w:basedOn w:val="Normal"/>
    <w:rsid w:val="006000F2"/>
    <w:pPr>
      <w:keepNext/>
      <w:keepLines/>
      <w:spacing w:after="0"/>
      <w:jc w:val="left"/>
    </w:pPr>
    <w:rPr>
      <w:sz w:val="18"/>
      <w:lang w:eastAsia="en-US"/>
    </w:rPr>
  </w:style>
  <w:style w:type="paragraph" w:customStyle="1" w:styleId="TAC">
    <w:name w:val="TAC"/>
    <w:basedOn w:val="TAL"/>
    <w:rsid w:val="006000F2"/>
    <w:pPr>
      <w:jc w:val="center"/>
    </w:pPr>
  </w:style>
  <w:style w:type="paragraph" w:customStyle="1" w:styleId="TAH">
    <w:name w:val="TAH"/>
    <w:basedOn w:val="TAC"/>
    <w:rsid w:val="006000F2"/>
    <w:rPr>
      <w:b/>
    </w:rPr>
  </w:style>
  <w:style w:type="paragraph" w:customStyle="1" w:styleId="TAN">
    <w:name w:val="TAN"/>
    <w:basedOn w:val="TAL"/>
    <w:rsid w:val="006000F2"/>
    <w:pPr>
      <w:ind w:left="851" w:hanging="851"/>
    </w:pPr>
  </w:style>
  <w:style w:type="paragraph" w:customStyle="1" w:styleId="TAR">
    <w:name w:val="TAR"/>
    <w:basedOn w:val="TAL"/>
    <w:rsid w:val="006000F2"/>
    <w:pPr>
      <w:jc w:val="right"/>
    </w:pPr>
  </w:style>
  <w:style w:type="paragraph" w:customStyle="1" w:styleId="TH">
    <w:name w:val="TH"/>
    <w:basedOn w:val="Normal"/>
    <w:rsid w:val="006000F2"/>
    <w:pPr>
      <w:keepNext/>
      <w:keepLines/>
      <w:spacing w:before="60" w:after="180"/>
      <w:jc w:val="center"/>
    </w:pPr>
    <w:rPr>
      <w:b/>
      <w:lang w:eastAsia="en-US"/>
    </w:rPr>
  </w:style>
  <w:style w:type="paragraph" w:customStyle="1" w:styleId="TF">
    <w:name w:val="TF"/>
    <w:basedOn w:val="TH"/>
    <w:rsid w:val="006000F2"/>
    <w:pPr>
      <w:keepNext w:val="0"/>
      <w:spacing w:before="0" w:after="240"/>
    </w:pPr>
  </w:style>
  <w:style w:type="paragraph" w:customStyle="1" w:styleId="TT">
    <w:name w:val="TT"/>
    <w:basedOn w:val="Heading1"/>
    <w:next w:val="Normal"/>
    <w:rsid w:val="006000F2"/>
    <w:pPr>
      <w:numPr>
        <w:numId w:val="0"/>
      </w:numPr>
      <w:ind w:left="1134" w:hanging="1134"/>
      <w:outlineLvl w:val="9"/>
    </w:pPr>
    <w:rPr>
      <w:rFonts w:cs="Times New Roman"/>
      <w:szCs w:val="20"/>
      <w:lang w:eastAsia="en-US"/>
    </w:rPr>
  </w:style>
  <w:style w:type="paragraph" w:customStyle="1" w:styleId="ZA">
    <w:name w:val="ZA"/>
    <w:rsid w:val="006000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000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6000F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6000F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6000F2"/>
  </w:style>
  <w:style w:type="paragraph" w:customStyle="1" w:styleId="ZH">
    <w:name w:val="ZH"/>
    <w:rsid w:val="006000F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6000F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6000F2"/>
    <w:pPr>
      <w:framePr w:hRule="auto" w:wrap="notBeside" w:y="852"/>
    </w:pPr>
    <w:rPr>
      <w:i w:val="0"/>
      <w:sz w:val="40"/>
    </w:rPr>
  </w:style>
  <w:style w:type="paragraph" w:customStyle="1" w:styleId="ZU">
    <w:name w:val="ZU"/>
    <w:rsid w:val="006000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6000F2"/>
    <w:pPr>
      <w:framePr w:wrap="notBeside" w:y="16161"/>
    </w:pPr>
  </w:style>
  <w:style w:type="paragraph" w:customStyle="1" w:styleId="FP">
    <w:name w:val="FP"/>
    <w:basedOn w:val="Normal"/>
    <w:rsid w:val="006000F2"/>
    <w:pPr>
      <w:spacing w:after="0"/>
      <w:jc w:val="left"/>
    </w:pPr>
    <w:rPr>
      <w:lang w:eastAsia="en-US"/>
    </w:rPr>
  </w:style>
  <w:style w:type="paragraph" w:customStyle="1" w:styleId="Observation">
    <w:name w:val="Observation"/>
    <w:basedOn w:val="Proposal"/>
    <w:qFormat/>
    <w:rsid w:val="006000F2"/>
    <w:pPr>
      <w:numPr>
        <w:numId w:val="13"/>
      </w:numPr>
      <w:ind w:left="1701" w:hanging="1701"/>
    </w:pPr>
  </w:style>
  <w:style w:type="paragraph" w:styleId="TableofFigures">
    <w:name w:val="table of figures"/>
    <w:basedOn w:val="Normal"/>
    <w:next w:val="Normal"/>
    <w:uiPriority w:val="99"/>
    <w:rsid w:val="006000F2"/>
    <w:pPr>
      <w:ind w:left="1418" w:hanging="1418"/>
      <w:jc w:val="left"/>
    </w:pPr>
    <w:rPr>
      <w:b/>
    </w:rPr>
  </w:style>
  <w:style w:type="paragraph" w:customStyle="1" w:styleId="Doc-text2">
    <w:name w:val="Doc-text2"/>
    <w:basedOn w:val="Normal"/>
    <w:link w:val="Doc-text2Char"/>
    <w:qFormat/>
    <w:rsid w:val="006000F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000F2"/>
    <w:rPr>
      <w:rFonts w:ascii="Arial" w:eastAsia="MS Mincho" w:hAnsi="Arial"/>
      <w:szCs w:val="24"/>
      <w:lang w:val="en-GB" w:eastAsia="en-GB"/>
    </w:rPr>
  </w:style>
  <w:style w:type="paragraph" w:styleId="ListParagraph">
    <w:name w:val="List Paragraph"/>
    <w:basedOn w:val="Normal"/>
    <w:uiPriority w:val="34"/>
    <w:qFormat/>
    <w:rsid w:val="002C6A87"/>
    <w:pPr>
      <w:ind w:left="720"/>
      <w:contextualSpacing/>
    </w:pPr>
  </w:style>
  <w:style w:type="paragraph" w:styleId="NormalWeb">
    <w:name w:val="Normal (Web)"/>
    <w:basedOn w:val="Normal"/>
    <w:uiPriority w:val="99"/>
    <w:unhideWhenUsed/>
    <w:rsid w:val="00DE23B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character" w:customStyle="1" w:styleId="Doc-titleChar">
    <w:name w:val="Doc-title Char"/>
    <w:link w:val="Doc-title"/>
    <w:locked/>
    <w:rsid w:val="00584864"/>
    <w:rPr>
      <w:rFonts w:ascii="Arial" w:eastAsia="MS Mincho" w:hAnsi="Arial" w:cs="Arial"/>
      <w:noProof/>
      <w:szCs w:val="24"/>
    </w:rPr>
  </w:style>
  <w:style w:type="paragraph" w:customStyle="1" w:styleId="Doc-title">
    <w:name w:val="Doc-title"/>
    <w:basedOn w:val="Normal"/>
    <w:next w:val="Doc-text2"/>
    <w:link w:val="Doc-titleChar"/>
    <w:qFormat/>
    <w:rsid w:val="00584864"/>
    <w:pPr>
      <w:overflowPunct/>
      <w:autoSpaceDE/>
      <w:autoSpaceDN/>
      <w:adjustRightInd/>
      <w:spacing w:before="60" w:after="0"/>
      <w:ind w:left="1259" w:hanging="1259"/>
      <w:jc w:val="left"/>
      <w:textAlignment w:val="auto"/>
    </w:pPr>
    <w:rPr>
      <w:rFonts w:eastAsia="MS Mincho" w:cs="Arial"/>
      <w:noProof/>
      <w:szCs w:val="24"/>
      <w:lang w:val="en-US" w:eastAsia="en-US"/>
    </w:rPr>
  </w:style>
  <w:style w:type="table" w:styleId="TableGrid">
    <w:name w:val="Table Grid"/>
    <w:basedOn w:val="TableNormal"/>
    <w:rsid w:val="000603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68508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785199243">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80702239">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717387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gmil\AppData\Local\Microsoft\Windows\Temporary%20Internet%20Files\Content.Outlook\UD6NAE1A\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5NUHHDQN7SK2-1476151046-15259</_dlc_DocId>
    <_dlc_DocIdUrl xmlns="f166a696-7b5b-4ccd-9f0c-ffde0cceec81">
      <Url>https://ericsson.sharepoint.com/sites/star/_layouts/15/DocIdRedir.aspx?ID=5NUHHDQN7SK2-1476151046-15259</Url>
      <Description>5NUHHDQN7SK2-1476151046-15259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2.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172519B7-C8CD-452D-B4D0-74B82EA6F6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9C9019B5-3354-4187-99A7-01830BF78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74</TotalTime>
  <Pages>6</Pages>
  <Words>2144</Words>
  <Characters>11367</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TDoc; Ericsson; 3GPP</cp:keywords>
  <dc:description/>
  <cp:lastModifiedBy>Ericsson User</cp:lastModifiedBy>
  <cp:revision>17</cp:revision>
  <cp:lastPrinted>2008-01-31T16:09:00Z</cp:lastPrinted>
  <dcterms:created xsi:type="dcterms:W3CDTF">2018-02-16T15:09:00Z</dcterms:created>
  <dcterms:modified xsi:type="dcterms:W3CDTF">2018-02-16T18:56:00Z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be1d3b10-542c-4bd9-95ae-a7b039638023</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